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96D9" w14:textId="77777777" w:rsidR="00AF0489" w:rsidRPr="007A1F0C" w:rsidRDefault="00AF0489" w:rsidP="00AF0489">
      <w:pPr>
        <w:pStyle w:val="Default"/>
        <w:contextualSpacing/>
        <w:jc w:val="center"/>
        <w:rPr>
          <w:rFonts w:asciiTheme="minorHAnsi" w:hAnsiTheme="minorHAnsi" w:cstheme="minorHAnsi"/>
          <w:b/>
          <w:bCs/>
          <w:color w:val="auto"/>
        </w:rPr>
      </w:pPr>
      <w:r w:rsidRPr="007A1F0C">
        <w:rPr>
          <w:rFonts w:asciiTheme="minorHAnsi" w:hAnsiTheme="minorHAnsi" w:cstheme="minorHAnsi"/>
          <w:b/>
          <w:bCs/>
          <w:color w:val="auto"/>
        </w:rPr>
        <w:t>Statement of Compliance with the QCA Corporate Governance Code</w:t>
      </w:r>
    </w:p>
    <w:p w14:paraId="6E2F02CF" w14:textId="7616E0EC" w:rsidR="00AF0489" w:rsidRPr="007A1F0C" w:rsidRDefault="00AF0489" w:rsidP="00AF0489">
      <w:pPr>
        <w:spacing w:after="72"/>
        <w:ind w:left="426"/>
        <w:contextualSpacing/>
        <w:jc w:val="center"/>
        <w:rPr>
          <w:rFonts w:cstheme="minorHAnsi"/>
          <w:b/>
          <w:sz w:val="20"/>
        </w:rPr>
      </w:pPr>
      <w:r w:rsidRPr="007A1F0C">
        <w:rPr>
          <w:rFonts w:cstheme="minorHAnsi"/>
          <w:b/>
          <w:sz w:val="20"/>
        </w:rPr>
        <w:t>(The information contained in this document was last reviewed on</w:t>
      </w:r>
      <w:r w:rsidR="000014FB">
        <w:rPr>
          <w:rFonts w:cstheme="minorHAnsi"/>
          <w:b/>
          <w:sz w:val="20"/>
        </w:rPr>
        <w:t>18 February 2025</w:t>
      </w:r>
      <w:r w:rsidRPr="007A1F0C">
        <w:rPr>
          <w:rFonts w:cstheme="minorHAnsi"/>
          <w:b/>
          <w:sz w:val="20"/>
        </w:rPr>
        <w:t>)</w:t>
      </w:r>
    </w:p>
    <w:p w14:paraId="23EFC0E4" w14:textId="77777777" w:rsidR="00135FBE" w:rsidRDefault="00135FBE" w:rsidP="00AF0489">
      <w:pPr>
        <w:overflowPunct/>
        <w:autoSpaceDE/>
        <w:autoSpaceDN/>
        <w:adjustRightInd/>
        <w:spacing w:after="200" w:line="276" w:lineRule="auto"/>
        <w:textAlignment w:val="auto"/>
        <w:rPr>
          <w:rFonts w:ascii="Calibri" w:eastAsia="Calibri" w:hAnsi="Calibri" w:cs="Calibri"/>
          <w:b/>
          <w:sz w:val="22"/>
          <w:szCs w:val="22"/>
          <w:lang w:eastAsia="en-US"/>
        </w:rPr>
      </w:pPr>
    </w:p>
    <w:p w14:paraId="1C8BA255" w14:textId="6A5397B4"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Introduction</w:t>
      </w:r>
    </w:p>
    <w:p w14:paraId="33DF5658"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of </w:t>
      </w:r>
      <w:r>
        <w:rPr>
          <w:rFonts w:eastAsia="MS Mincho" w:cs="Arial"/>
          <w:sz w:val="21"/>
          <w:szCs w:val="21"/>
        </w:rPr>
        <w:t>Beacon Energy</w:t>
      </w:r>
      <w:r w:rsidRPr="00CB0627">
        <w:rPr>
          <w:rFonts w:eastAsia="MS Mincho" w:cs="Arial"/>
          <w:sz w:val="21"/>
          <w:szCs w:val="21"/>
        </w:rPr>
        <w:t xml:space="preserve"> plc </w:t>
      </w:r>
      <w:r>
        <w:rPr>
          <w:rFonts w:eastAsia="MS Mincho" w:cs="Arial"/>
          <w:sz w:val="21"/>
          <w:szCs w:val="21"/>
        </w:rPr>
        <w:t xml:space="preserve">(“the company”) </w:t>
      </w:r>
      <w:r w:rsidRPr="00CB0627">
        <w:rPr>
          <w:rFonts w:eastAsia="MS Mincho" w:cs="Arial"/>
          <w:sz w:val="21"/>
          <w:szCs w:val="21"/>
        </w:rPr>
        <w:t xml:space="preserve">fully endorses the importance of good corporate governance and applies the QCA Corporate Governance Code, published in April 2018 by the Quoted Companies Alliance (the “QCA Code”), which the Board believes to be the most appropriate recognised governance code for a company of the Company’s size with shares admitted to trading on the AIM market of the London Stock Exchange. </w:t>
      </w:r>
    </w:p>
    <w:p w14:paraId="1A00420A"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6F24BD5"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Chairman is responsible for leading an effective board, fostering a good corporate governance culture, maintaining open communications with the major shareholders and ensuring appropriate strategic focus and direction for the Company. </w:t>
      </w:r>
    </w:p>
    <w:p w14:paraId="6853E7D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75F13B07"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Notwithstanding the Board’s commitment to applying the QCA Code, we will not seek to comply with the QCA Code where strict compliance in the future would be contrary to the primary objective of delivering long-term value for the Company’s shareholders and stakeholders. However, we do consider that following the QCA Code, and a framework of sound corporate governance and an ethical culture, is conducive to long-term value creation for the Company’s shareholders. </w:t>
      </w:r>
    </w:p>
    <w:p w14:paraId="42727048"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B4A53FF"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All members of the Board believe strongly in the importance of good corporate governance to assist in achieving objectives and in accountability to the Company’s stakeholders. In the statements that follow, the Company explains its approach to governance in more detail.</w:t>
      </w:r>
    </w:p>
    <w:p w14:paraId="2D852F4F"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6974C316"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One</w:t>
      </w:r>
    </w:p>
    <w:p w14:paraId="3F6D1795" w14:textId="77777777" w:rsidR="00AF0489" w:rsidRPr="005B78AE" w:rsidRDefault="00AF0489" w:rsidP="00AF0489">
      <w:pPr>
        <w:overflowPunct/>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Establish a strategy and business model which promote long-term value for shareholders</w:t>
      </w:r>
      <w:r w:rsidRPr="005B78AE" w:rsidDel="00CE3667">
        <w:rPr>
          <w:rFonts w:ascii="Calibri" w:eastAsia="Calibri" w:hAnsi="Calibri" w:cs="Calibri"/>
          <w:b/>
          <w:i/>
          <w:iCs/>
          <w:sz w:val="22"/>
          <w:szCs w:val="22"/>
          <w:lang w:eastAsia="en-US"/>
        </w:rPr>
        <w:t xml:space="preserve"> </w:t>
      </w:r>
    </w:p>
    <w:p w14:paraId="572E7AE1" w14:textId="77777777" w:rsidR="00AF0489" w:rsidRPr="005B78AE" w:rsidRDefault="00AF0489" w:rsidP="00AF0489">
      <w:pPr>
        <w:overflowPunct/>
        <w:textAlignment w:val="auto"/>
        <w:rPr>
          <w:rFonts w:ascii="Calibri" w:eastAsia="Calibri" w:hAnsi="Calibri" w:cs="Calibri"/>
          <w:bCs/>
          <w:sz w:val="22"/>
          <w:szCs w:val="22"/>
          <w:lang w:eastAsia="en-US"/>
        </w:rPr>
      </w:pPr>
    </w:p>
    <w:p w14:paraId="58EA27EF" w14:textId="77777777" w:rsidR="000014FB" w:rsidRPr="009C4DD9" w:rsidRDefault="000014FB" w:rsidP="000014FB">
      <w:pPr>
        <w:tabs>
          <w:tab w:val="left" w:pos="346"/>
          <w:tab w:val="left" w:pos="1152"/>
          <w:tab w:val="decimal" w:pos="6048"/>
          <w:tab w:val="decimal" w:pos="7344"/>
          <w:tab w:val="decimal" w:pos="8640"/>
          <w:tab w:val="decimal" w:pos="9878"/>
        </w:tabs>
        <w:jc w:val="left"/>
        <w:rPr>
          <w:rFonts w:ascii="Calibri" w:eastAsia="Calibri" w:hAnsi="Calibri" w:cs="Calibri"/>
          <w:bCs/>
          <w:sz w:val="22"/>
          <w:szCs w:val="22"/>
          <w:lang w:eastAsia="en-US"/>
        </w:rPr>
      </w:pPr>
      <w:r w:rsidRPr="009C4DD9">
        <w:rPr>
          <w:rFonts w:ascii="Calibri" w:eastAsia="Calibri" w:hAnsi="Calibri" w:cs="Calibri"/>
          <w:bCs/>
          <w:sz w:val="22"/>
          <w:szCs w:val="22"/>
          <w:lang w:eastAsia="en-US"/>
        </w:rPr>
        <w:t>The Company holds a portfolio of onshore German assets through its wholly-owned subsidiary, Rhein Petroleum GmbH ("Rhein Petroleum") and on 6 January 2025 was informed by Rhein Petroleum GmbH's ("Rhein Petroleum") creditor representative that it has completed a transaction to sell certain assets of Rhein Petroleum to a third party and therefore the process to liquidate Rhein Petroleum (the "Proposed Liquidation") will commence. </w:t>
      </w:r>
    </w:p>
    <w:p w14:paraId="2A0AE88C" w14:textId="77777777" w:rsidR="000014FB" w:rsidRPr="009C4DD9" w:rsidRDefault="000014FB" w:rsidP="000014FB">
      <w:pPr>
        <w:tabs>
          <w:tab w:val="left" w:pos="346"/>
          <w:tab w:val="left" w:pos="1152"/>
          <w:tab w:val="decimal" w:pos="6048"/>
          <w:tab w:val="decimal" w:pos="7344"/>
          <w:tab w:val="decimal" w:pos="8640"/>
          <w:tab w:val="decimal" w:pos="9878"/>
        </w:tabs>
        <w:jc w:val="left"/>
        <w:rPr>
          <w:rFonts w:ascii="Calibri" w:eastAsia="Calibri" w:hAnsi="Calibri" w:cs="Calibri"/>
          <w:bCs/>
          <w:sz w:val="22"/>
          <w:szCs w:val="22"/>
          <w:lang w:eastAsia="en-US"/>
        </w:rPr>
      </w:pPr>
      <w:r w:rsidRPr="009C4DD9">
        <w:rPr>
          <w:rFonts w:ascii="Calibri" w:eastAsia="Calibri" w:hAnsi="Calibri" w:cs="Calibri"/>
          <w:bCs/>
          <w:sz w:val="22"/>
          <w:szCs w:val="22"/>
          <w:lang w:eastAsia="en-US"/>
        </w:rPr>
        <w:t>The Company's strategy continues to be the creation a self-funding oil &amp; gas production company taking advantage of growth opportunities resulting from industry players as they reshape their portfolios. </w:t>
      </w:r>
    </w:p>
    <w:p w14:paraId="7F880BD6" w14:textId="77777777" w:rsidR="000014FB" w:rsidRPr="009C4DD9" w:rsidRDefault="000014FB" w:rsidP="000014FB">
      <w:pPr>
        <w:tabs>
          <w:tab w:val="left" w:pos="346"/>
          <w:tab w:val="left" w:pos="1152"/>
          <w:tab w:val="decimal" w:pos="6048"/>
          <w:tab w:val="decimal" w:pos="7344"/>
          <w:tab w:val="decimal" w:pos="8640"/>
          <w:tab w:val="decimal" w:pos="9878"/>
        </w:tabs>
        <w:jc w:val="left"/>
        <w:rPr>
          <w:rFonts w:ascii="Calibri" w:eastAsia="Calibri" w:hAnsi="Calibri" w:cs="Calibri"/>
          <w:bCs/>
          <w:sz w:val="22"/>
          <w:szCs w:val="22"/>
          <w:lang w:eastAsia="en-US"/>
        </w:rPr>
      </w:pPr>
      <w:r w:rsidRPr="009C4DD9">
        <w:rPr>
          <w:rFonts w:ascii="Calibri" w:eastAsia="Calibri" w:hAnsi="Calibri" w:cs="Calibri"/>
          <w:bCs/>
          <w:sz w:val="22"/>
          <w:szCs w:val="22"/>
          <w:lang w:eastAsia="en-US"/>
        </w:rPr>
        <w:t>The Board is presently in discussions on a range of opportunities and is confident that it will enter into an agreement on at least one opportunity before mid-year 2025, however there can be no guarantee that such an agreement will be reached.</w:t>
      </w:r>
    </w:p>
    <w:p w14:paraId="213B0DCD" w14:textId="77777777" w:rsidR="000014FB" w:rsidRPr="009C4DD9" w:rsidRDefault="000014FB" w:rsidP="000014FB">
      <w:pPr>
        <w:tabs>
          <w:tab w:val="left" w:pos="346"/>
          <w:tab w:val="left" w:pos="1152"/>
          <w:tab w:val="decimal" w:pos="6048"/>
          <w:tab w:val="decimal" w:pos="7344"/>
          <w:tab w:val="decimal" w:pos="8640"/>
          <w:tab w:val="decimal" w:pos="9878"/>
        </w:tabs>
        <w:jc w:val="left"/>
        <w:rPr>
          <w:rFonts w:ascii="Calibri" w:eastAsia="Calibri" w:hAnsi="Calibri" w:cs="Calibri"/>
          <w:bCs/>
          <w:sz w:val="22"/>
          <w:szCs w:val="22"/>
          <w:lang w:eastAsia="en-US"/>
        </w:rPr>
      </w:pPr>
      <w:r w:rsidRPr="009C4DD9">
        <w:rPr>
          <w:rFonts w:ascii="Calibri" w:eastAsia="Calibri" w:hAnsi="Calibri" w:cs="Calibri"/>
          <w:bCs/>
          <w:sz w:val="22"/>
          <w:szCs w:val="22"/>
          <w:lang w:eastAsia="en-US"/>
        </w:rPr>
        <w:t>As a consequence of the Proposed Liquidation of Rhein Petroleum, Beacon Energy has become an AIM Rule 15 cash shell effective 6 January 2025, details of which are in the RNS announcement of this date.</w:t>
      </w:r>
    </w:p>
    <w:p w14:paraId="5931F48E" w14:textId="77777777" w:rsidR="00AF0489" w:rsidRDefault="00AF0489" w:rsidP="00AF0489">
      <w:pPr>
        <w:tabs>
          <w:tab w:val="left" w:pos="346"/>
          <w:tab w:val="left" w:pos="1152"/>
          <w:tab w:val="decimal" w:pos="6048"/>
          <w:tab w:val="decimal" w:pos="7344"/>
          <w:tab w:val="decimal" w:pos="8640"/>
          <w:tab w:val="decimal" w:pos="9878"/>
        </w:tabs>
        <w:jc w:val="left"/>
        <w:rPr>
          <w:rFonts w:ascii="Calibri" w:eastAsia="Calibri" w:hAnsi="Calibri" w:cs="Calibri"/>
          <w:b/>
          <w:sz w:val="22"/>
          <w:szCs w:val="22"/>
          <w:lang w:eastAsia="en-US"/>
        </w:rPr>
      </w:pPr>
    </w:p>
    <w:p w14:paraId="6C7FD5FB" w14:textId="77777777" w:rsidR="00AF0489" w:rsidRDefault="00AF0489" w:rsidP="00AF0489">
      <w:pPr>
        <w:overflowPunct/>
        <w:autoSpaceDE/>
        <w:autoSpaceDN/>
        <w:adjustRightInd/>
        <w:jc w:val="left"/>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 xml:space="preserve">Principle Two </w:t>
      </w:r>
    </w:p>
    <w:p w14:paraId="7F40FBAF" w14:textId="77777777" w:rsidR="00AF0489" w:rsidRPr="005B78AE" w:rsidRDefault="00AF0489" w:rsidP="00AF0489">
      <w:pPr>
        <w:overflowPunct/>
        <w:autoSpaceDE/>
        <w:autoSpaceDN/>
        <w:adjustRightInd/>
        <w:jc w:val="left"/>
        <w:textAlignment w:val="auto"/>
        <w:rPr>
          <w:rFonts w:ascii="Calibri" w:eastAsia="Calibri" w:hAnsi="Calibri" w:cs="Calibri"/>
          <w:b/>
          <w:sz w:val="22"/>
          <w:szCs w:val="22"/>
          <w:lang w:eastAsia="en-US"/>
        </w:rPr>
      </w:pPr>
    </w:p>
    <w:p w14:paraId="7B04725D"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Seek to understand and meet shareholder needs and expectations</w:t>
      </w:r>
      <w:r w:rsidRPr="005B78AE" w:rsidDel="00CE3667">
        <w:rPr>
          <w:rFonts w:ascii="Calibri" w:eastAsia="Calibri" w:hAnsi="Calibri" w:cs="Calibri"/>
          <w:b/>
          <w:i/>
          <w:iCs/>
          <w:sz w:val="22"/>
          <w:szCs w:val="22"/>
          <w:lang w:eastAsia="en-US"/>
        </w:rPr>
        <w:t xml:space="preserve"> </w:t>
      </w:r>
    </w:p>
    <w:p w14:paraId="74A45B7C"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is committed to maintaining good communication and having constructive dialogue with its shareholders. Institutional shareholders and analysts have the opportunity to discuss issues and provide feedback at meetings with the Company. The Company is required to hold an Annual General Meeting (“AGM”) in each year, which gives investors the opportunity to enter into dialogue with the </w:t>
      </w:r>
      <w:r w:rsidRPr="00CB0627">
        <w:rPr>
          <w:rFonts w:eastAsia="MS Mincho" w:cs="Arial"/>
          <w:sz w:val="21"/>
          <w:szCs w:val="21"/>
        </w:rPr>
        <w:lastRenderedPageBreak/>
        <w:t xml:space="preserve">Board and for the Board to receive feedback and </w:t>
      </w:r>
      <w:proofErr w:type="gramStart"/>
      <w:r w:rsidRPr="00CB0627">
        <w:rPr>
          <w:rFonts w:eastAsia="MS Mincho" w:cs="Arial"/>
          <w:sz w:val="21"/>
          <w:szCs w:val="21"/>
        </w:rPr>
        <w:t>take action</w:t>
      </w:r>
      <w:proofErr w:type="gramEnd"/>
      <w:r w:rsidRPr="00CB0627">
        <w:rPr>
          <w:rFonts w:eastAsia="MS Mincho" w:cs="Arial"/>
          <w:sz w:val="21"/>
          <w:szCs w:val="21"/>
        </w:rPr>
        <w:t xml:space="preserve"> if and when necessary. Where voting decisions are not in line with the Company’s expectations the Board intends to engage with those shareholders to understand and address any issues as appropriate. Investors also have access to current information on the Company though its website.</w:t>
      </w:r>
    </w:p>
    <w:p w14:paraId="60568E12"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73952346"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Shareholders can engage with the Company through its </w:t>
      </w:r>
      <w:r>
        <w:rPr>
          <w:rFonts w:eastAsia="MS Mincho" w:cs="Arial"/>
          <w:sz w:val="21"/>
          <w:szCs w:val="21"/>
        </w:rPr>
        <w:t xml:space="preserve">Investor Relations Adviser, Buchanan. </w:t>
      </w:r>
      <w:r w:rsidRPr="00CB0627">
        <w:rPr>
          <w:rFonts w:eastAsia="MS Mincho" w:cs="Arial"/>
          <w:sz w:val="21"/>
          <w:szCs w:val="21"/>
        </w:rPr>
        <w:t xml:space="preserve">Investors also have access to current information on the Company through its website, </w:t>
      </w:r>
      <w:r w:rsidRPr="00834940">
        <w:t>https://beaconenergyplc.com/</w:t>
      </w:r>
      <w:r>
        <w:t>.</w:t>
      </w:r>
    </w:p>
    <w:p w14:paraId="3B77335C"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66FA1EDF"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Three</w:t>
      </w:r>
    </w:p>
    <w:p w14:paraId="247F31AC"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proofErr w:type="gramStart"/>
      <w:r w:rsidRPr="005B78AE">
        <w:rPr>
          <w:rFonts w:ascii="Calibri" w:eastAsia="Calibri" w:hAnsi="Calibri" w:cs="Calibri"/>
          <w:b/>
          <w:i/>
          <w:color w:val="221E1F"/>
          <w:sz w:val="22"/>
          <w:szCs w:val="22"/>
          <w:lang w:eastAsia="en-US"/>
        </w:rPr>
        <w:t>Take into account</w:t>
      </w:r>
      <w:proofErr w:type="gramEnd"/>
      <w:r w:rsidRPr="005B78AE">
        <w:rPr>
          <w:rFonts w:ascii="Calibri" w:eastAsia="Calibri" w:hAnsi="Calibri" w:cs="Calibri"/>
          <w:b/>
          <w:i/>
          <w:color w:val="221E1F"/>
          <w:sz w:val="22"/>
          <w:szCs w:val="22"/>
          <w:lang w:eastAsia="en-US"/>
        </w:rPr>
        <w:t xml:space="preserve"> wider stakeholder and social responsibilities and their implications for long-term success</w:t>
      </w:r>
      <w:r w:rsidRPr="005B78AE" w:rsidDel="009D16A9">
        <w:rPr>
          <w:rFonts w:ascii="Calibri" w:eastAsia="Calibri" w:hAnsi="Calibri" w:cs="Calibri"/>
          <w:b/>
          <w:i/>
          <w:iCs/>
          <w:sz w:val="22"/>
          <w:szCs w:val="22"/>
          <w:lang w:eastAsia="en-US"/>
        </w:rPr>
        <w:t xml:space="preserve"> </w:t>
      </w:r>
    </w:p>
    <w:p w14:paraId="3EA15319"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is aware that engaging with its stakeholders strengthens relationships and assists it to make better business decisions to deliver its commitments. The Company’s stakeholders include shareholders, members of staff, suppliers, contractors, regulators, and the surrounding communities where its projects are located. </w:t>
      </w:r>
    </w:p>
    <w:p w14:paraId="4DFDC816"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BF1E450"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is regularly updated on wider stakeholder views and issues concerning its projects both formally at Board meetings and informally through conversations. Engagement in this manner enables the Board to receive feedback and equips them to make decisions affecting the business. </w:t>
      </w:r>
    </w:p>
    <w:p w14:paraId="29D08F4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1148150"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recognises the importance of its social responsibilities concerning its investment decisions, and the Company will develop projects that seek to </w:t>
      </w:r>
      <w:proofErr w:type="gramStart"/>
      <w:r w:rsidRPr="00CB0627">
        <w:rPr>
          <w:rFonts w:eastAsia="MS Mincho" w:cs="Arial"/>
          <w:sz w:val="21"/>
          <w:szCs w:val="21"/>
        </w:rPr>
        <w:t>make a contribution</w:t>
      </w:r>
      <w:proofErr w:type="gramEnd"/>
      <w:r w:rsidRPr="00CB0627">
        <w:rPr>
          <w:rFonts w:eastAsia="MS Mincho" w:cs="Arial"/>
          <w:sz w:val="21"/>
          <w:szCs w:val="21"/>
        </w:rPr>
        <w:t xml:space="preserve"> to the development of communities in which they are located. In planning its activities, the Company will </w:t>
      </w:r>
      <w:proofErr w:type="gramStart"/>
      <w:r w:rsidRPr="00CB0627">
        <w:rPr>
          <w:rFonts w:eastAsia="MS Mincho" w:cs="Arial"/>
          <w:sz w:val="21"/>
          <w:szCs w:val="21"/>
        </w:rPr>
        <w:t>give consideration to</w:t>
      </w:r>
      <w:proofErr w:type="gramEnd"/>
      <w:r w:rsidRPr="00CB0627">
        <w:rPr>
          <w:rFonts w:eastAsia="MS Mincho" w:cs="Arial"/>
          <w:sz w:val="21"/>
          <w:szCs w:val="21"/>
        </w:rPr>
        <w:t xml:space="preserve"> evaluating the social impact of proposed developments with a view to promoting where possible local employment and the delivery of other local benefits and mitigating negative impacts to the extent possible. </w:t>
      </w:r>
    </w:p>
    <w:p w14:paraId="4AB1A597"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C2A6F4B"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Four</w:t>
      </w:r>
    </w:p>
    <w:p w14:paraId="22FC5721"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sz w:val="22"/>
          <w:szCs w:val="22"/>
          <w:lang w:eastAsia="en-US"/>
        </w:rPr>
      </w:pPr>
      <w:r w:rsidRPr="005B78AE">
        <w:rPr>
          <w:rFonts w:ascii="Calibri" w:eastAsia="Calibri" w:hAnsi="Calibri" w:cs="Calibri"/>
          <w:b/>
          <w:i/>
          <w:color w:val="221E1F"/>
          <w:sz w:val="22"/>
          <w:szCs w:val="22"/>
          <w:lang w:eastAsia="en-US"/>
        </w:rPr>
        <w:t>Embed effective risk management, considering both opportunities and threats, throughout the organisation</w:t>
      </w:r>
      <w:r w:rsidRPr="005B78AE" w:rsidDel="00A67732">
        <w:rPr>
          <w:rFonts w:ascii="Calibri" w:eastAsia="Calibri" w:hAnsi="Calibri" w:cs="Calibri"/>
          <w:b/>
          <w:i/>
          <w:sz w:val="22"/>
          <w:szCs w:val="22"/>
          <w:lang w:eastAsia="en-US"/>
        </w:rPr>
        <w:t xml:space="preserve"> </w:t>
      </w:r>
    </w:p>
    <w:p w14:paraId="45A7606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In addition to its other roles and responsibilities, the Board is responsible for ensuring that procedures are in place and are being implemented effectively to identify, evaluate and manage the significant risks faced by the Company and to ensure that risk management is reflected in Board remuneration.</w:t>
      </w:r>
    </w:p>
    <w:p w14:paraId="41296FCF"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6DB33ABA"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Company’s focus on near term value creation means it is easier to control risks, limiting exposure to long term commodity price trends, as well as the potential for value to be stranded as the result of a future changing world energy mix or climate change initiatives.</w:t>
      </w:r>
    </w:p>
    <w:p w14:paraId="0FE0EC4E"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2D63431"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Group’s operations expose it to a variety of risks that include volatility of commodity prices, foreign currency volatility, operational risks, availability of finance and funding. </w:t>
      </w:r>
    </w:p>
    <w:p w14:paraId="2E9D1D0F"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C70997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Group has a risk management programme in place that seeks to limit the adverse effects on the financial performance of the Group by monitoring levels of debt finance and the related finance costs. </w:t>
      </w:r>
    </w:p>
    <w:p w14:paraId="66BB91D0"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4D5CBE1"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Risk is monitored, assessed and managed by the Board as a whole who are responsible for ensuring that the financial performance of the Company is properly monitored and reported. This process includes reviews of annual and interim accounts, results announcements, internal control systems, procedures and accounting policies. </w:t>
      </w:r>
    </w:p>
    <w:p w14:paraId="58FB3F1E"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9B14D9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lastRenderedPageBreak/>
        <w:t xml:space="preserve">The Board identifies and evaluates financial risks in close co-operation with the managers who are a highly experienced team who can focus on the key issues to maximise value and de-risk Company projects. </w:t>
      </w:r>
    </w:p>
    <w:p w14:paraId="61F9B48D"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3906F3F"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key risk factors for the Company are contained in the Company’s Annual Report and Accounts.</w:t>
      </w:r>
    </w:p>
    <w:p w14:paraId="31C8DE38" w14:textId="77777777" w:rsidR="000014FB" w:rsidRDefault="000014FB" w:rsidP="00AF0489">
      <w:pPr>
        <w:tabs>
          <w:tab w:val="left" w:pos="346"/>
          <w:tab w:val="left" w:pos="1152"/>
          <w:tab w:val="decimal" w:pos="6048"/>
          <w:tab w:val="decimal" w:pos="7344"/>
          <w:tab w:val="decimal" w:pos="8640"/>
          <w:tab w:val="decimal" w:pos="9878"/>
        </w:tabs>
        <w:rPr>
          <w:rFonts w:eastAsia="MS Mincho" w:cs="Arial"/>
          <w:sz w:val="21"/>
          <w:szCs w:val="21"/>
        </w:rPr>
      </w:pPr>
    </w:p>
    <w:p w14:paraId="17089E8E"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Five</w:t>
      </w:r>
    </w:p>
    <w:p w14:paraId="40B758D2" w14:textId="77777777" w:rsidR="00AF0489" w:rsidRPr="005B78AE" w:rsidRDefault="00AF0489" w:rsidP="00AF0489">
      <w:pPr>
        <w:overflowPunct/>
        <w:autoSpaceDE/>
        <w:autoSpaceDN/>
        <w:adjustRightInd/>
        <w:spacing w:after="200" w:line="276" w:lineRule="auto"/>
        <w:jc w:val="left"/>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Maintain the board as a well-functioning, balanced team led by the chair</w:t>
      </w:r>
      <w:r w:rsidRPr="005B78AE" w:rsidDel="00B03A7D">
        <w:rPr>
          <w:rFonts w:ascii="Calibri" w:eastAsia="Calibri" w:hAnsi="Calibri" w:cs="Calibri"/>
          <w:b/>
          <w:i/>
          <w:iCs/>
          <w:sz w:val="22"/>
          <w:szCs w:val="22"/>
          <w:lang w:eastAsia="en-US"/>
        </w:rPr>
        <w:t xml:space="preserve"> </w:t>
      </w:r>
    </w:p>
    <w:p w14:paraId="54D742B6" w14:textId="6D4A06AB" w:rsidR="00AF0489" w:rsidRDefault="00AF0489" w:rsidP="00AF0489">
      <w:pPr>
        <w:tabs>
          <w:tab w:val="left" w:pos="346"/>
          <w:tab w:val="left" w:pos="1152"/>
          <w:tab w:val="decimal" w:pos="6048"/>
          <w:tab w:val="decimal" w:pos="7344"/>
          <w:tab w:val="decimal" w:pos="8640"/>
          <w:tab w:val="decimal" w:pos="9878"/>
        </w:tabs>
        <w:jc w:val="left"/>
        <w:rPr>
          <w:rFonts w:eastAsia="MS Mincho" w:cs="Arial"/>
          <w:sz w:val="21"/>
          <w:szCs w:val="21"/>
        </w:rPr>
      </w:pPr>
      <w:r w:rsidRPr="00CB0627">
        <w:rPr>
          <w:rFonts w:eastAsia="MS Mincho" w:cs="Arial"/>
          <w:sz w:val="21"/>
          <w:szCs w:val="21"/>
        </w:rPr>
        <w:t xml:space="preserve">The Board comprises, Mark Rollins non-executive Chairman and director, </w:t>
      </w:r>
      <w:r>
        <w:rPr>
          <w:rFonts w:eastAsia="MS Mincho" w:cs="Arial"/>
          <w:sz w:val="21"/>
          <w:szCs w:val="21"/>
        </w:rPr>
        <w:t>Stewart MacDonald</w:t>
      </w:r>
      <w:r w:rsidRPr="00CB0627">
        <w:rPr>
          <w:rFonts w:eastAsia="MS Mincho" w:cs="Arial"/>
          <w:sz w:val="21"/>
          <w:szCs w:val="21"/>
        </w:rPr>
        <w:t xml:space="preserve"> as CEO</w:t>
      </w:r>
      <w:r>
        <w:rPr>
          <w:rFonts w:eastAsia="MS Mincho" w:cs="Arial"/>
          <w:sz w:val="21"/>
          <w:szCs w:val="21"/>
        </w:rPr>
        <w:t xml:space="preserve"> and executive director</w:t>
      </w:r>
      <w:r w:rsidRPr="00CB0627">
        <w:rPr>
          <w:rFonts w:eastAsia="MS Mincho" w:cs="Arial"/>
          <w:sz w:val="21"/>
          <w:szCs w:val="21"/>
        </w:rPr>
        <w:t xml:space="preserve"> and, Ross Warner and </w:t>
      </w:r>
      <w:r>
        <w:rPr>
          <w:rFonts w:eastAsia="MS Mincho" w:cs="Arial"/>
          <w:sz w:val="21"/>
          <w:szCs w:val="21"/>
        </w:rPr>
        <w:t>Leo Koot</w:t>
      </w:r>
      <w:r w:rsidRPr="00CB0627">
        <w:rPr>
          <w:rFonts w:eastAsia="MS Mincho" w:cs="Arial"/>
          <w:sz w:val="21"/>
          <w:szCs w:val="21"/>
        </w:rPr>
        <w:t xml:space="preserve"> as non-executive directors</w:t>
      </w:r>
      <w:r w:rsidRPr="00513528">
        <w:rPr>
          <w:rFonts w:eastAsia="MS Mincho" w:cstheme="minorHAnsi"/>
          <w:sz w:val="21"/>
          <w:szCs w:val="21"/>
        </w:rPr>
        <w:t>.</w:t>
      </w:r>
      <w:r>
        <w:rPr>
          <w:rFonts w:eastAsia="MS Mincho" w:cstheme="minorHAnsi"/>
          <w:sz w:val="21"/>
          <w:szCs w:val="21"/>
        </w:rPr>
        <w:t xml:space="preserve"> </w:t>
      </w:r>
    </w:p>
    <w:p w14:paraId="61271276"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2FC2A9C"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Executive and </w:t>
      </w:r>
      <w:r>
        <w:rPr>
          <w:rFonts w:eastAsia="MS Mincho" w:cs="Arial"/>
          <w:sz w:val="21"/>
          <w:szCs w:val="21"/>
        </w:rPr>
        <w:t>n</w:t>
      </w:r>
      <w:r w:rsidRPr="00CB0627">
        <w:rPr>
          <w:rFonts w:eastAsia="MS Mincho" w:cs="Arial"/>
          <w:sz w:val="21"/>
          <w:szCs w:val="21"/>
        </w:rPr>
        <w:t>on-</w:t>
      </w:r>
      <w:r>
        <w:rPr>
          <w:rFonts w:eastAsia="MS Mincho" w:cs="Arial"/>
          <w:sz w:val="21"/>
          <w:szCs w:val="21"/>
        </w:rPr>
        <w:t>e</w:t>
      </w:r>
      <w:r w:rsidRPr="00CB0627">
        <w:rPr>
          <w:rFonts w:eastAsia="MS Mincho" w:cs="Arial"/>
          <w:sz w:val="21"/>
          <w:szCs w:val="21"/>
        </w:rPr>
        <w:t xml:space="preserve">xecutive </w:t>
      </w:r>
      <w:r>
        <w:rPr>
          <w:rFonts w:eastAsia="MS Mincho" w:cs="Arial"/>
          <w:sz w:val="21"/>
          <w:szCs w:val="21"/>
        </w:rPr>
        <w:t>d</w:t>
      </w:r>
      <w:r w:rsidRPr="00CB0627">
        <w:rPr>
          <w:rFonts w:eastAsia="MS Mincho" w:cs="Arial"/>
          <w:sz w:val="21"/>
          <w:szCs w:val="21"/>
        </w:rPr>
        <w:t>irectors are subject to re-election at the Company’s AGM in accordance with the Company’s Articles of Association. The letters of appointment of all Directors are available for inspection at the Company's registered office during normal business hours.  The Directors are expected to provide as much time to the Company as is required.</w:t>
      </w:r>
    </w:p>
    <w:p w14:paraId="0EFB722D"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F57D11B"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All the Directors biographies are published on the Company’s website and outlined below: </w:t>
      </w:r>
      <w:r w:rsidRPr="00DF56AC">
        <w:rPr>
          <w:rFonts w:eastAsia="MS Mincho" w:cs="Arial"/>
          <w:sz w:val="21"/>
          <w:szCs w:val="21"/>
        </w:rPr>
        <w:t>https://beaconenergyplc.com/about-us/board-management/</w:t>
      </w:r>
    </w:p>
    <w:p w14:paraId="46FDF1D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732C62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Company has established subcommittees of the Board, comprising an Audit Committee, a Remuneration Committee, a Nomination Committee and a</w:t>
      </w:r>
      <w:r>
        <w:rPr>
          <w:rFonts w:eastAsia="MS Mincho" w:cs="Arial"/>
          <w:sz w:val="21"/>
          <w:szCs w:val="21"/>
        </w:rPr>
        <w:t xml:space="preserve"> Market Disclosures </w:t>
      </w:r>
      <w:r w:rsidRPr="00CB0627">
        <w:rPr>
          <w:rFonts w:eastAsia="MS Mincho" w:cs="Arial"/>
          <w:sz w:val="21"/>
          <w:szCs w:val="21"/>
        </w:rPr>
        <w:t>Committee. </w:t>
      </w:r>
    </w:p>
    <w:p w14:paraId="11E991BB"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8885D31"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aims to hold </w:t>
      </w:r>
      <w:r>
        <w:rPr>
          <w:rFonts w:eastAsia="MS Mincho" w:cs="Arial"/>
          <w:sz w:val="21"/>
          <w:szCs w:val="21"/>
        </w:rPr>
        <w:t xml:space="preserve">informal </w:t>
      </w:r>
      <w:r w:rsidRPr="00CB0627">
        <w:rPr>
          <w:rFonts w:eastAsia="MS Mincho" w:cs="Arial"/>
          <w:sz w:val="21"/>
          <w:szCs w:val="21"/>
        </w:rPr>
        <w:t>meetings</w:t>
      </w:r>
      <w:r>
        <w:rPr>
          <w:rFonts w:eastAsia="MS Mincho" w:cs="Arial"/>
          <w:sz w:val="21"/>
          <w:szCs w:val="21"/>
        </w:rPr>
        <w:t xml:space="preserve"> monthly and formal meetings quarterly (or more frequently as appropriate)</w:t>
      </w:r>
      <w:r w:rsidRPr="00CB0627">
        <w:rPr>
          <w:rFonts w:eastAsia="MS Mincho" w:cs="Arial"/>
          <w:sz w:val="21"/>
          <w:szCs w:val="21"/>
        </w:rPr>
        <w:t xml:space="preserve">. A schedule of attendance at </w:t>
      </w:r>
      <w:r>
        <w:rPr>
          <w:rFonts w:eastAsia="MS Mincho" w:cs="Arial"/>
          <w:sz w:val="21"/>
          <w:szCs w:val="21"/>
        </w:rPr>
        <w:t xml:space="preserve">formal </w:t>
      </w:r>
      <w:r w:rsidRPr="00CB0627">
        <w:rPr>
          <w:rFonts w:eastAsia="MS Mincho" w:cs="Arial"/>
          <w:sz w:val="21"/>
          <w:szCs w:val="21"/>
        </w:rPr>
        <w:t>Board meeting is outlined as follows:</w:t>
      </w:r>
      <w:r w:rsidRPr="00CB0627">
        <w:rPr>
          <w:rFonts w:eastAsia="MS Mincho" w:cs="Arial"/>
          <w:sz w:val="21"/>
          <w:szCs w:val="21"/>
        </w:rPr>
        <w:t> </w:t>
      </w:r>
    </w:p>
    <w:p w14:paraId="326C0BB9"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760A99C3" w14:textId="7B61E145" w:rsidR="00AF0489" w:rsidRPr="001B4D7D"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bookmarkStart w:id="0" w:name="_Hlk177974826"/>
      <w:r w:rsidRPr="001B4D7D">
        <w:rPr>
          <w:rFonts w:ascii="Calibri" w:eastAsia="Calibri" w:hAnsi="Calibri" w:cs="Calibri"/>
          <w:b/>
          <w:sz w:val="22"/>
          <w:szCs w:val="22"/>
          <w:lang w:eastAsia="en-US"/>
        </w:rPr>
        <w:t xml:space="preserve">Board Meetings Attendance – from </w:t>
      </w:r>
      <w:r w:rsidR="009C4DD9">
        <w:rPr>
          <w:rFonts w:ascii="Calibri" w:eastAsia="Calibri" w:hAnsi="Calibri" w:cs="Calibri"/>
          <w:b/>
          <w:sz w:val="22"/>
          <w:szCs w:val="22"/>
          <w:lang w:eastAsia="en-US"/>
        </w:rPr>
        <w:t>01</w:t>
      </w:r>
      <w:r w:rsidR="000014FB">
        <w:rPr>
          <w:rFonts w:ascii="Calibri" w:eastAsia="Calibri" w:hAnsi="Calibri" w:cs="Calibri"/>
          <w:b/>
          <w:sz w:val="22"/>
          <w:szCs w:val="22"/>
          <w:lang w:eastAsia="en-US"/>
        </w:rPr>
        <w:t xml:space="preserve"> </w:t>
      </w:r>
      <w:r w:rsidR="009C4DD9">
        <w:rPr>
          <w:rFonts w:ascii="Calibri" w:eastAsia="Calibri" w:hAnsi="Calibri" w:cs="Calibri"/>
          <w:b/>
          <w:sz w:val="22"/>
          <w:szCs w:val="22"/>
          <w:lang w:eastAsia="en-US"/>
        </w:rPr>
        <w:t>January</w:t>
      </w:r>
      <w:r w:rsidR="000014FB">
        <w:rPr>
          <w:rFonts w:ascii="Calibri" w:eastAsia="Calibri" w:hAnsi="Calibri" w:cs="Calibri"/>
          <w:b/>
          <w:sz w:val="22"/>
          <w:szCs w:val="22"/>
          <w:lang w:eastAsia="en-US"/>
        </w:rPr>
        <w:t xml:space="preserve"> 2024 – 31 December 2024</w:t>
      </w:r>
    </w:p>
    <w:tbl>
      <w:tblPr>
        <w:tblStyle w:val="TableGrid"/>
        <w:tblW w:w="0" w:type="auto"/>
        <w:tblLook w:val="04A0" w:firstRow="1" w:lastRow="0" w:firstColumn="1" w:lastColumn="0" w:noHBand="0" w:noVBand="1"/>
      </w:tblPr>
      <w:tblGrid>
        <w:gridCol w:w="3011"/>
        <w:gridCol w:w="2957"/>
        <w:gridCol w:w="2672"/>
      </w:tblGrid>
      <w:tr w:rsidR="00AF0489" w:rsidRPr="00D65E8E" w14:paraId="2A169A97" w14:textId="77777777" w:rsidTr="00C6055F">
        <w:trPr>
          <w:trHeight w:val="504"/>
        </w:trPr>
        <w:tc>
          <w:tcPr>
            <w:tcW w:w="3011" w:type="dxa"/>
            <w:noWrap/>
            <w:hideMark/>
          </w:tcPr>
          <w:p w14:paraId="0FB9BAB7" w14:textId="77777777" w:rsidR="00AF0489" w:rsidRPr="00CC3FDC" w:rsidRDefault="00AF0489" w:rsidP="00C6055F">
            <w:pPr>
              <w:overflowPunct/>
              <w:autoSpaceDE/>
              <w:autoSpaceDN/>
              <w:adjustRightInd/>
              <w:spacing w:after="200" w:line="276" w:lineRule="auto"/>
              <w:textAlignment w:val="auto"/>
              <w:rPr>
                <w:rFonts w:ascii="Calibri" w:eastAsia="Calibri" w:hAnsi="Calibri" w:cs="Calibri"/>
                <w:b/>
                <w:bCs/>
                <w:sz w:val="21"/>
                <w:szCs w:val="21"/>
                <w:lang w:eastAsia="en-US"/>
              </w:rPr>
            </w:pPr>
            <w:r w:rsidRPr="00CC3FDC">
              <w:rPr>
                <w:rFonts w:ascii="Calibri" w:eastAsia="Calibri" w:hAnsi="Calibri" w:cs="Calibri"/>
                <w:b/>
                <w:bCs/>
                <w:sz w:val="21"/>
                <w:szCs w:val="21"/>
                <w:lang w:eastAsia="en-US"/>
              </w:rPr>
              <w:t>Directors</w:t>
            </w:r>
          </w:p>
        </w:tc>
        <w:tc>
          <w:tcPr>
            <w:tcW w:w="5629" w:type="dxa"/>
            <w:gridSpan w:val="2"/>
            <w:noWrap/>
            <w:hideMark/>
          </w:tcPr>
          <w:p w14:paraId="633CAF1B" w14:textId="77777777" w:rsidR="00AF0489" w:rsidRPr="00CC3FDC" w:rsidRDefault="00AF0489" w:rsidP="00C6055F">
            <w:pPr>
              <w:overflowPunct/>
              <w:autoSpaceDE/>
              <w:autoSpaceDN/>
              <w:adjustRightInd/>
              <w:spacing w:after="200" w:line="276" w:lineRule="auto"/>
              <w:textAlignment w:val="auto"/>
              <w:rPr>
                <w:rFonts w:ascii="Calibri" w:eastAsia="Calibri" w:hAnsi="Calibri" w:cs="Calibri"/>
                <w:b/>
                <w:bCs/>
                <w:sz w:val="21"/>
                <w:szCs w:val="21"/>
                <w:lang w:eastAsia="en-US"/>
              </w:rPr>
            </w:pPr>
            <w:r w:rsidRPr="00CC3FDC">
              <w:rPr>
                <w:rFonts w:ascii="Calibri" w:eastAsia="Calibri" w:hAnsi="Calibri" w:cs="Calibri"/>
                <w:b/>
                <w:bCs/>
                <w:sz w:val="21"/>
                <w:szCs w:val="21"/>
                <w:lang w:eastAsia="en-US"/>
              </w:rPr>
              <w:t>Board Meetings</w:t>
            </w:r>
          </w:p>
        </w:tc>
      </w:tr>
      <w:tr w:rsidR="00AF0489" w:rsidRPr="00D65E8E" w14:paraId="3994B261" w14:textId="77777777" w:rsidTr="00C6055F">
        <w:trPr>
          <w:trHeight w:val="315"/>
        </w:trPr>
        <w:tc>
          <w:tcPr>
            <w:tcW w:w="3011" w:type="dxa"/>
            <w:noWrap/>
            <w:hideMark/>
          </w:tcPr>
          <w:p w14:paraId="40356F64" w14:textId="77777777" w:rsidR="00AF0489" w:rsidRPr="00CC3FDC" w:rsidRDefault="00AF0489" w:rsidP="00C6055F">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 </w:t>
            </w:r>
          </w:p>
        </w:tc>
        <w:tc>
          <w:tcPr>
            <w:tcW w:w="2957" w:type="dxa"/>
            <w:noWrap/>
            <w:hideMark/>
          </w:tcPr>
          <w:p w14:paraId="5CFF35AE" w14:textId="77777777" w:rsidR="00AF0489" w:rsidRPr="00CC3FDC" w:rsidRDefault="00AF0489" w:rsidP="00C6055F">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Attended</w:t>
            </w:r>
          </w:p>
        </w:tc>
        <w:tc>
          <w:tcPr>
            <w:tcW w:w="2672" w:type="dxa"/>
            <w:noWrap/>
            <w:hideMark/>
          </w:tcPr>
          <w:p w14:paraId="45BB32B2" w14:textId="77777777" w:rsidR="00AF0489" w:rsidRPr="00CC3FDC" w:rsidRDefault="00AF0489" w:rsidP="00C6055F">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Eligible</w:t>
            </w:r>
          </w:p>
        </w:tc>
      </w:tr>
      <w:tr w:rsidR="009C4DD9" w:rsidRPr="00D65E8E" w14:paraId="76660E7F" w14:textId="77777777" w:rsidTr="00C6055F">
        <w:trPr>
          <w:trHeight w:val="302"/>
        </w:trPr>
        <w:tc>
          <w:tcPr>
            <w:tcW w:w="3011" w:type="dxa"/>
            <w:noWrap/>
            <w:hideMark/>
          </w:tcPr>
          <w:p w14:paraId="284CA118" w14:textId="77777777" w:rsidR="009C4DD9" w:rsidRPr="00CC3FDC"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Stewart MacDonald</w:t>
            </w:r>
          </w:p>
        </w:tc>
        <w:tc>
          <w:tcPr>
            <w:tcW w:w="2957" w:type="dxa"/>
            <w:noWrap/>
          </w:tcPr>
          <w:p w14:paraId="1ECCD8B5" w14:textId="56A09DAA" w:rsidR="009C4DD9" w:rsidRPr="00CC3FDC" w:rsidRDefault="001B2DB7"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c>
          <w:tcPr>
            <w:tcW w:w="2672" w:type="dxa"/>
            <w:noWrap/>
          </w:tcPr>
          <w:p w14:paraId="33A25A11" w14:textId="63C2271D" w:rsidR="009C4DD9" w:rsidRPr="00CC3FDC" w:rsidRDefault="001B2DB7"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r>
      <w:tr w:rsidR="001B2DB7" w:rsidRPr="00D65E8E" w14:paraId="5027AD82" w14:textId="77777777" w:rsidTr="00C6055F">
        <w:trPr>
          <w:trHeight w:val="302"/>
        </w:trPr>
        <w:tc>
          <w:tcPr>
            <w:tcW w:w="3011" w:type="dxa"/>
            <w:noWrap/>
            <w:hideMark/>
          </w:tcPr>
          <w:p w14:paraId="62D1FF88" w14:textId="77777777"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Mark Rollins</w:t>
            </w:r>
          </w:p>
        </w:tc>
        <w:tc>
          <w:tcPr>
            <w:tcW w:w="2957" w:type="dxa"/>
            <w:noWrap/>
          </w:tcPr>
          <w:p w14:paraId="2D44F82C" w14:textId="709A4892"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c>
          <w:tcPr>
            <w:tcW w:w="2672" w:type="dxa"/>
            <w:noWrap/>
          </w:tcPr>
          <w:p w14:paraId="49F17BD0" w14:textId="2AB1F572"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r>
      <w:tr w:rsidR="001B2DB7" w:rsidRPr="00D65E8E" w14:paraId="10E6A1D8" w14:textId="77777777" w:rsidTr="00C6055F">
        <w:trPr>
          <w:trHeight w:val="302"/>
        </w:trPr>
        <w:tc>
          <w:tcPr>
            <w:tcW w:w="3011" w:type="dxa"/>
            <w:noWrap/>
            <w:hideMark/>
          </w:tcPr>
          <w:p w14:paraId="1D3830FE" w14:textId="77777777"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Ross Warner</w:t>
            </w:r>
          </w:p>
        </w:tc>
        <w:tc>
          <w:tcPr>
            <w:tcW w:w="2957" w:type="dxa"/>
            <w:noWrap/>
          </w:tcPr>
          <w:p w14:paraId="0FBC2ECF" w14:textId="18A06413"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c>
          <w:tcPr>
            <w:tcW w:w="2672" w:type="dxa"/>
            <w:noWrap/>
          </w:tcPr>
          <w:p w14:paraId="415C66F5" w14:textId="1A151D5F"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r>
      <w:tr w:rsidR="001B2DB7" w:rsidRPr="00D65E8E" w14:paraId="46A96BAC" w14:textId="77777777" w:rsidTr="00C6055F">
        <w:trPr>
          <w:trHeight w:val="302"/>
        </w:trPr>
        <w:tc>
          <w:tcPr>
            <w:tcW w:w="3011" w:type="dxa"/>
            <w:noWrap/>
            <w:hideMark/>
          </w:tcPr>
          <w:p w14:paraId="7ADB90F7" w14:textId="77777777"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sidRPr="00CC3FDC">
              <w:rPr>
                <w:rFonts w:ascii="Calibri" w:eastAsia="Calibri" w:hAnsi="Calibri" w:cs="Calibri"/>
                <w:b/>
                <w:sz w:val="21"/>
                <w:szCs w:val="21"/>
                <w:lang w:eastAsia="en-US"/>
              </w:rPr>
              <w:t xml:space="preserve">Leo Koot </w:t>
            </w:r>
          </w:p>
        </w:tc>
        <w:tc>
          <w:tcPr>
            <w:tcW w:w="2957" w:type="dxa"/>
            <w:noWrap/>
          </w:tcPr>
          <w:p w14:paraId="54554818" w14:textId="279D71A5"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c>
          <w:tcPr>
            <w:tcW w:w="2672" w:type="dxa"/>
            <w:noWrap/>
          </w:tcPr>
          <w:p w14:paraId="66BB9E01" w14:textId="2E18F396" w:rsidR="001B2DB7" w:rsidRPr="00CC3FDC" w:rsidRDefault="001B2DB7" w:rsidP="001B2DB7">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7</w:t>
            </w:r>
          </w:p>
        </w:tc>
      </w:tr>
      <w:tr w:rsidR="009C4DD9" w:rsidRPr="00D65E8E" w14:paraId="5ED56F32" w14:textId="77777777" w:rsidTr="00C6055F">
        <w:trPr>
          <w:trHeight w:val="302"/>
        </w:trPr>
        <w:tc>
          <w:tcPr>
            <w:tcW w:w="3011" w:type="dxa"/>
            <w:noWrap/>
          </w:tcPr>
          <w:p w14:paraId="42EBF2F6" w14:textId="14A514FA" w:rsidR="009C4DD9" w:rsidRPr="00CC3FDC"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Larry Bottomley*</w:t>
            </w:r>
          </w:p>
        </w:tc>
        <w:tc>
          <w:tcPr>
            <w:tcW w:w="2957" w:type="dxa"/>
            <w:noWrap/>
          </w:tcPr>
          <w:p w14:paraId="70D49CB5" w14:textId="33F71448" w:rsidR="009C4DD9"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4</w:t>
            </w:r>
          </w:p>
        </w:tc>
        <w:tc>
          <w:tcPr>
            <w:tcW w:w="2672" w:type="dxa"/>
            <w:noWrap/>
          </w:tcPr>
          <w:p w14:paraId="278CC7B0" w14:textId="02D94133" w:rsidR="009C4DD9"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4</w:t>
            </w:r>
          </w:p>
        </w:tc>
      </w:tr>
      <w:tr w:rsidR="009C4DD9" w:rsidRPr="00D65E8E" w14:paraId="564AF0E0" w14:textId="77777777" w:rsidTr="00C6055F">
        <w:trPr>
          <w:trHeight w:val="302"/>
        </w:trPr>
        <w:tc>
          <w:tcPr>
            <w:tcW w:w="3011" w:type="dxa"/>
            <w:noWrap/>
          </w:tcPr>
          <w:p w14:paraId="247F7BE5" w14:textId="1C226648" w:rsidR="009C4DD9" w:rsidRPr="00CC3FDC"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Stephen Whyte*</w:t>
            </w:r>
          </w:p>
        </w:tc>
        <w:tc>
          <w:tcPr>
            <w:tcW w:w="2957" w:type="dxa"/>
            <w:noWrap/>
          </w:tcPr>
          <w:p w14:paraId="49C0C02E" w14:textId="28D1E214" w:rsidR="009C4DD9"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4</w:t>
            </w:r>
          </w:p>
        </w:tc>
        <w:tc>
          <w:tcPr>
            <w:tcW w:w="2672" w:type="dxa"/>
            <w:noWrap/>
          </w:tcPr>
          <w:p w14:paraId="02998333" w14:textId="63A6E4D1" w:rsidR="009C4DD9" w:rsidRDefault="009C4DD9" w:rsidP="009C4DD9">
            <w:pPr>
              <w:overflowPunct/>
              <w:autoSpaceDE/>
              <w:autoSpaceDN/>
              <w:adjustRightInd/>
              <w:spacing w:after="200" w:line="276" w:lineRule="auto"/>
              <w:textAlignment w:val="auto"/>
              <w:rPr>
                <w:rFonts w:ascii="Calibri" w:eastAsia="Calibri" w:hAnsi="Calibri" w:cs="Calibri"/>
                <w:b/>
                <w:sz w:val="21"/>
                <w:szCs w:val="21"/>
                <w:lang w:eastAsia="en-US"/>
              </w:rPr>
            </w:pPr>
            <w:r>
              <w:rPr>
                <w:rFonts w:ascii="Calibri" w:eastAsia="Calibri" w:hAnsi="Calibri" w:cs="Calibri"/>
                <w:b/>
                <w:sz w:val="21"/>
                <w:szCs w:val="21"/>
                <w:lang w:eastAsia="en-US"/>
              </w:rPr>
              <w:t>4</w:t>
            </w:r>
          </w:p>
        </w:tc>
      </w:tr>
      <w:bookmarkEnd w:id="0"/>
    </w:tbl>
    <w:p w14:paraId="6C94811F" w14:textId="77777777" w:rsidR="00AF0489" w:rsidRDefault="00AF0489" w:rsidP="00AF0489">
      <w:pPr>
        <w:overflowPunct/>
        <w:autoSpaceDE/>
        <w:autoSpaceDN/>
        <w:adjustRightInd/>
        <w:spacing w:after="200" w:line="276" w:lineRule="auto"/>
        <w:textAlignment w:val="auto"/>
        <w:rPr>
          <w:rFonts w:ascii="Calibri" w:eastAsia="Calibri" w:hAnsi="Calibri" w:cs="Calibri"/>
          <w:b/>
          <w:sz w:val="21"/>
          <w:szCs w:val="21"/>
          <w:highlight w:val="yellow"/>
          <w:lang w:eastAsia="en-US"/>
        </w:rPr>
      </w:pPr>
    </w:p>
    <w:p w14:paraId="1F5159BB" w14:textId="0FB2BE29" w:rsidR="003B6AC9" w:rsidRDefault="009C4DD9" w:rsidP="00AF0489">
      <w:pPr>
        <w:overflowPunct/>
        <w:autoSpaceDE/>
        <w:autoSpaceDN/>
        <w:adjustRightInd/>
        <w:spacing w:after="200" w:line="276" w:lineRule="auto"/>
        <w:textAlignment w:val="auto"/>
        <w:rPr>
          <w:rFonts w:ascii="Calibri" w:eastAsia="Calibri" w:hAnsi="Calibri" w:cs="Calibri"/>
          <w:b/>
          <w:sz w:val="21"/>
          <w:szCs w:val="21"/>
          <w:highlight w:val="yellow"/>
          <w:lang w:eastAsia="en-US"/>
        </w:rPr>
      </w:pPr>
      <w:r>
        <w:rPr>
          <w:rFonts w:ascii="Calibri" w:eastAsia="Calibri" w:hAnsi="Calibri" w:cs="Calibri"/>
          <w:bCs/>
          <w:sz w:val="21"/>
          <w:szCs w:val="21"/>
          <w:lang w:eastAsia="en-US"/>
        </w:rPr>
        <w:t>*</w:t>
      </w:r>
      <w:r w:rsidR="000014FB" w:rsidRPr="009C4DD9">
        <w:rPr>
          <w:rFonts w:ascii="Calibri" w:eastAsia="Calibri" w:hAnsi="Calibri" w:cs="Calibri"/>
          <w:bCs/>
          <w:sz w:val="21"/>
          <w:szCs w:val="21"/>
          <w:lang w:eastAsia="en-US"/>
        </w:rPr>
        <w:t>Larry Bottomley and Stephen Whyte retired from the Board effective 1 July 2024</w:t>
      </w:r>
    </w:p>
    <w:p w14:paraId="4881159B" w14:textId="77777777" w:rsidR="009C4DD9" w:rsidRPr="009C4DD9" w:rsidRDefault="009C4DD9" w:rsidP="00AF0489">
      <w:pPr>
        <w:overflowPunct/>
        <w:autoSpaceDE/>
        <w:autoSpaceDN/>
        <w:adjustRightInd/>
        <w:spacing w:after="200" w:line="276" w:lineRule="auto"/>
        <w:textAlignment w:val="auto"/>
        <w:rPr>
          <w:rFonts w:ascii="Calibri" w:eastAsia="Calibri" w:hAnsi="Calibri" w:cs="Calibri"/>
          <w:b/>
          <w:sz w:val="21"/>
          <w:szCs w:val="21"/>
          <w:highlight w:val="yellow"/>
          <w:lang w:eastAsia="en-US"/>
        </w:rPr>
      </w:pPr>
    </w:p>
    <w:p w14:paraId="76D9BDE7" w14:textId="54F03C97" w:rsidR="00AF0489" w:rsidRPr="00CC3FDC" w:rsidRDefault="00AF0489" w:rsidP="00AF0489">
      <w:pPr>
        <w:overflowPunct/>
        <w:autoSpaceDE/>
        <w:autoSpaceDN/>
        <w:adjustRightInd/>
        <w:spacing w:after="200" w:line="276" w:lineRule="auto"/>
        <w:textAlignment w:val="auto"/>
        <w:rPr>
          <w:rFonts w:ascii="Calibri" w:eastAsia="Calibri" w:hAnsi="Calibri" w:cs="Calibri"/>
          <w:sz w:val="21"/>
          <w:szCs w:val="21"/>
          <w:lang w:eastAsia="en-GB"/>
        </w:rPr>
      </w:pPr>
      <w:r w:rsidRPr="00CC3FDC">
        <w:rPr>
          <w:rFonts w:ascii="Calibri" w:eastAsia="Calibri" w:hAnsi="Calibri" w:cs="Calibri"/>
          <w:sz w:val="21"/>
          <w:szCs w:val="21"/>
          <w:lang w:eastAsia="en-GB"/>
        </w:rPr>
        <w:t>Given the reduced size of the Board it is intended that the number of Board committees will be reduced with the work of the Audit Committee and Market Disclosure Committee combined and the work of the Remuneration Committee and Nomination Committee combined.</w:t>
      </w:r>
    </w:p>
    <w:p w14:paraId="1A573657"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lastRenderedPageBreak/>
        <w:t>Principle Six</w:t>
      </w:r>
    </w:p>
    <w:p w14:paraId="1ECC5EFB"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Ensure that between them the directors have the necessary up-to-date experience, skills and capabilities</w:t>
      </w:r>
      <w:r w:rsidRPr="005B78AE" w:rsidDel="00B03A7D">
        <w:rPr>
          <w:rFonts w:ascii="Calibri" w:eastAsia="Calibri" w:hAnsi="Calibri" w:cs="Calibri"/>
          <w:b/>
          <w:i/>
          <w:iCs/>
          <w:sz w:val="22"/>
          <w:szCs w:val="22"/>
          <w:lang w:eastAsia="en-US"/>
        </w:rPr>
        <w:t xml:space="preserve"> </w:t>
      </w:r>
    </w:p>
    <w:p w14:paraId="21647F94"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currently consists of </w:t>
      </w:r>
      <w:r>
        <w:rPr>
          <w:rFonts w:eastAsia="MS Mincho" w:cs="Arial"/>
          <w:sz w:val="21"/>
          <w:szCs w:val="21"/>
        </w:rPr>
        <w:t>four</w:t>
      </w:r>
      <w:r w:rsidRPr="00CB0627">
        <w:rPr>
          <w:rFonts w:eastAsia="MS Mincho" w:cs="Arial"/>
          <w:sz w:val="21"/>
          <w:szCs w:val="21"/>
        </w:rPr>
        <w:t xml:space="preserve"> Directors. </w:t>
      </w:r>
    </w:p>
    <w:p w14:paraId="277F13AE"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122B58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believes that the current balance of skills of the Directors reflects a very broad range of commercial and professional skills across geographies and industries that is necessary to ensure the Company is equipped to deliver is strategy and notes that each of the Director's has experience in public markets.  </w:t>
      </w:r>
    </w:p>
    <w:p w14:paraId="3B9BDD08"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657B4A94"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Directors keep their knowledge and expertise current through their intensive involvement in industry affairs. Additionally, the Directors receive ad hoc guidance on certain matters concerning the AIM Rules for Companies from the Company’s Nomad as well as receiving updates on the regulatory environment from FIM Capital Limited (“FIM”). FIM provides Company secretarial, specialist administration and accounting services to the Company.</w:t>
      </w:r>
    </w:p>
    <w:p w14:paraId="45E90554"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77E412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Full Biographies of the Board are available on the Company’s website </w:t>
      </w:r>
      <w:r w:rsidRPr="00B24246">
        <w:rPr>
          <w:rFonts w:eastAsia="MS Mincho" w:cs="Arial"/>
          <w:sz w:val="21"/>
          <w:szCs w:val="21"/>
        </w:rPr>
        <w:t>https://beaconenergyplc.com/about-us/board-management/</w:t>
      </w:r>
    </w:p>
    <w:p w14:paraId="6195721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D47CEA7"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Seven</w:t>
      </w:r>
    </w:p>
    <w:p w14:paraId="06CFA9C6"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Evaluate board performance based on clear and relevant objectives, seeking continuous improvement</w:t>
      </w:r>
      <w:r w:rsidRPr="005B78AE" w:rsidDel="00B03A7D">
        <w:rPr>
          <w:rFonts w:ascii="Calibri" w:eastAsia="Calibri" w:hAnsi="Calibri" w:cs="Calibri"/>
          <w:b/>
          <w:i/>
          <w:iCs/>
          <w:sz w:val="22"/>
          <w:szCs w:val="22"/>
          <w:lang w:eastAsia="en-US"/>
        </w:rPr>
        <w:t xml:space="preserve"> </w:t>
      </w:r>
    </w:p>
    <w:p w14:paraId="67B0C0E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There is no formal Board or director evaluation system in place, however, there is an internal evaluation of the Board and individual directors undertaken on an ad hoc basis in the form of peer appraisal and discussions to determine the effectiveness and performance as well as the directors' continued independence.  This process can be regular as part of the board meeting process or ad hoc when the director or Board deem it necessary.</w:t>
      </w:r>
    </w:p>
    <w:p w14:paraId="02E48189"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34A19AC"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results and recommendations that come out of the appraisals for the directors shall identify the key corporate and financial targets that are relevant to each director and their personal targets in terms of career development and training. Progress against previous targets shall also be assessed where relevant. </w:t>
      </w:r>
    </w:p>
    <w:p w14:paraId="1CC7981B"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0230C44"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Eight</w:t>
      </w:r>
    </w:p>
    <w:p w14:paraId="4B9A58FB"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Promote a corporate culture that is based on ethical values and behaviours</w:t>
      </w:r>
      <w:r w:rsidRPr="005B78AE" w:rsidDel="00D72E56">
        <w:rPr>
          <w:rFonts w:ascii="Calibri" w:eastAsia="Calibri" w:hAnsi="Calibri" w:cs="Calibri"/>
          <w:b/>
          <w:i/>
          <w:iCs/>
          <w:sz w:val="22"/>
          <w:szCs w:val="22"/>
          <w:lang w:eastAsia="en-US"/>
        </w:rPr>
        <w:t xml:space="preserve"> </w:t>
      </w:r>
    </w:p>
    <w:p w14:paraId="7B546B93"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Board recognises that their decisions regarding strategy and risk will impact the corporate culture of the Company as a whole and that this will impact the performance of the Company. The Board is very aware that the tone and culture set by the Board will greatly impact all aspects of the Company as a whole and the way that employees behave. The corporate governance arrangements that the Board has adopted are designed to ensure that the Company delivers long term value to its shareholders and that shareholders have the opportunity to express their views and expectations for the Company in a manner that encourages open dialogue with the Board. </w:t>
      </w:r>
    </w:p>
    <w:p w14:paraId="70AFD0CC"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3EA1F9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Company maintains an open and respectful dialogue with employees, partners and other stakeholders. Therefore, the importance of sound ethical values and behaviours is crucial to the ability of the Company to successfully achieve its corporate objectives. The Board places great importance on this aspect of corporate life and seeks to ensure that this flows through all that the </w:t>
      </w:r>
      <w:r w:rsidRPr="00CB0627">
        <w:rPr>
          <w:rFonts w:eastAsia="MS Mincho" w:cs="Arial"/>
          <w:sz w:val="21"/>
          <w:szCs w:val="21"/>
        </w:rPr>
        <w:lastRenderedPageBreak/>
        <w:t xml:space="preserve">Company does.  The Directors consider that at present the Company has an open culture facilitating comprehensive dialogue and feedback and enabling positive and constructive challenge. </w:t>
      </w:r>
    </w:p>
    <w:p w14:paraId="67CBAD77"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0BCA897F"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Company has put policies in place that communicate disciplinary policies clearly; ensures every employee knows the consequences of unethical behaviour; ensures its employees can report misconduct anonymously and has a confidential complaint process in place.</w:t>
      </w:r>
    </w:p>
    <w:p w14:paraId="740989C0"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CF688E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Company has adopted, with effect from the date on which its shares were admitted to AIM, a code for Directors' and employees' dealings in securities which is appropriate for a company whose securities are traded on AIM and is in accordance with the requirements of the Market Abuse Regulation. </w:t>
      </w:r>
    </w:p>
    <w:p w14:paraId="08EFE7CF"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769C9F67"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sz w:val="22"/>
          <w:szCs w:val="22"/>
          <w:lang w:eastAsia="en-US"/>
        </w:rPr>
      </w:pPr>
      <w:r w:rsidRPr="005B78AE">
        <w:rPr>
          <w:rFonts w:ascii="Calibri" w:eastAsia="Calibri" w:hAnsi="Calibri" w:cs="Calibri"/>
          <w:b/>
          <w:sz w:val="22"/>
          <w:szCs w:val="22"/>
          <w:lang w:eastAsia="en-US"/>
        </w:rPr>
        <w:t>Principle Nine</w:t>
      </w:r>
    </w:p>
    <w:p w14:paraId="719C1CE3" w14:textId="77777777" w:rsidR="00AF0489" w:rsidRPr="005B78AE" w:rsidRDefault="00AF0489" w:rsidP="00AF0489">
      <w:pPr>
        <w:overflowPunct/>
        <w:autoSpaceDE/>
        <w:autoSpaceDN/>
        <w:adjustRightInd/>
        <w:spacing w:after="200" w:line="276" w:lineRule="auto"/>
        <w:textAlignment w:val="auto"/>
        <w:rPr>
          <w:rFonts w:ascii="Calibri" w:eastAsia="Calibri" w:hAnsi="Calibri" w:cs="Calibri"/>
          <w:b/>
          <w:i/>
          <w:iCs/>
          <w:sz w:val="22"/>
          <w:szCs w:val="22"/>
          <w:lang w:eastAsia="en-US"/>
        </w:rPr>
      </w:pPr>
      <w:r w:rsidRPr="005B78AE">
        <w:rPr>
          <w:rFonts w:ascii="Calibri" w:eastAsia="Calibri" w:hAnsi="Calibri" w:cs="Calibri"/>
          <w:b/>
          <w:i/>
          <w:color w:val="221E1F"/>
          <w:sz w:val="22"/>
          <w:szCs w:val="22"/>
          <w:lang w:eastAsia="en-US"/>
        </w:rPr>
        <w:t>Maintain governance structures and processes that are fit for purpose and support good decision-making by the board</w:t>
      </w:r>
      <w:r w:rsidRPr="005B78AE" w:rsidDel="00D72E56">
        <w:rPr>
          <w:rFonts w:ascii="Calibri" w:eastAsia="Calibri" w:hAnsi="Calibri" w:cs="Calibri"/>
          <w:b/>
          <w:i/>
          <w:iCs/>
          <w:sz w:val="22"/>
          <w:szCs w:val="22"/>
          <w:lang w:eastAsia="en-US"/>
        </w:rPr>
        <w:t xml:space="preserve"> </w:t>
      </w:r>
    </w:p>
    <w:p w14:paraId="0D0D3504"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Ultimate authority for all aspects of the Company's activities rests with the Board and the respective responsibilities of the Non-Executive Chairman. The Board has adopted appropriate delegations of authority which set out matters which are reserved to the Board. </w:t>
      </w:r>
    </w:p>
    <w:p w14:paraId="4EB79A5E"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74A9DFA9"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Non-Executive Chairman is responsible for the effectiveness of the Board together with the responsibility to oversee the Company’s corporate governance practices. </w:t>
      </w:r>
    </w:p>
    <w:p w14:paraId="33F65C98"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0D4AF2FC" w14:textId="77777777" w:rsidR="00AF0489" w:rsidRPr="005A6FE5"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5A6FE5">
        <w:rPr>
          <w:rFonts w:eastAsia="MS Mincho" w:cs="Arial"/>
          <w:sz w:val="21"/>
          <w:szCs w:val="21"/>
        </w:rPr>
        <w:t xml:space="preserve">The Board is supported by an audit committee, remuneration committee, a nomination committee and a </w:t>
      </w:r>
      <w:r w:rsidRPr="00AC5679">
        <w:rPr>
          <w:sz w:val="21"/>
          <w:szCs w:val="21"/>
        </w:rPr>
        <w:t xml:space="preserve">Market Disclosure Committee (Previously called the </w:t>
      </w:r>
      <w:r w:rsidRPr="005A6FE5">
        <w:rPr>
          <w:rFonts w:eastAsia="MS Mincho" w:cs="Arial"/>
          <w:sz w:val="21"/>
          <w:szCs w:val="21"/>
        </w:rPr>
        <w:t xml:space="preserve">AIM Rules and UK MAR compliance committee). </w:t>
      </w:r>
      <w:r w:rsidRPr="00AC5679">
        <w:rPr>
          <w:sz w:val="21"/>
          <w:szCs w:val="21"/>
        </w:rPr>
        <w:t>Details of the responsibilities of each such committee are detailed below.</w:t>
      </w:r>
    </w:p>
    <w:p w14:paraId="0F58772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FDEEEB3" w14:textId="77777777" w:rsidR="00AF0489" w:rsidRPr="00AC5679" w:rsidRDefault="00AF0489" w:rsidP="00AF0489">
      <w:pPr>
        <w:tabs>
          <w:tab w:val="left" w:pos="346"/>
          <w:tab w:val="left" w:pos="1152"/>
          <w:tab w:val="decimal" w:pos="6048"/>
          <w:tab w:val="decimal" w:pos="7344"/>
          <w:tab w:val="decimal" w:pos="8640"/>
          <w:tab w:val="decimal" w:pos="9878"/>
        </w:tabs>
        <w:rPr>
          <w:rFonts w:eastAsia="MS Mincho" w:cs="Arial"/>
          <w:b/>
          <w:bCs/>
          <w:sz w:val="21"/>
          <w:szCs w:val="21"/>
        </w:rPr>
      </w:pPr>
      <w:r w:rsidRPr="00AC5679">
        <w:rPr>
          <w:rFonts w:eastAsia="MS Mincho" w:cs="Arial"/>
          <w:b/>
          <w:bCs/>
          <w:sz w:val="21"/>
          <w:szCs w:val="21"/>
        </w:rPr>
        <w:t xml:space="preserve">Role of the Audit Committee: The members are </w:t>
      </w:r>
      <w:r>
        <w:rPr>
          <w:rFonts w:eastAsia="MS Mincho" w:cs="Arial"/>
          <w:b/>
          <w:bCs/>
          <w:sz w:val="21"/>
          <w:szCs w:val="21"/>
        </w:rPr>
        <w:t>Ross Warner</w:t>
      </w:r>
      <w:r w:rsidRPr="00AC5679">
        <w:rPr>
          <w:rFonts w:eastAsia="MS Mincho" w:cs="Arial"/>
          <w:b/>
          <w:bCs/>
          <w:sz w:val="21"/>
          <w:szCs w:val="21"/>
        </w:rPr>
        <w:t xml:space="preserve"> </w:t>
      </w:r>
      <w:r>
        <w:rPr>
          <w:rFonts w:eastAsia="MS Mincho" w:cs="Arial"/>
          <w:b/>
          <w:bCs/>
          <w:sz w:val="21"/>
          <w:szCs w:val="21"/>
        </w:rPr>
        <w:t>(</w:t>
      </w:r>
      <w:r w:rsidRPr="00AC5679">
        <w:rPr>
          <w:rFonts w:eastAsia="MS Mincho" w:cs="Arial"/>
          <w:b/>
          <w:bCs/>
          <w:sz w:val="21"/>
          <w:szCs w:val="21"/>
        </w:rPr>
        <w:t>Chair</w:t>
      </w:r>
      <w:r>
        <w:rPr>
          <w:rFonts w:eastAsia="MS Mincho" w:cs="Arial"/>
          <w:b/>
          <w:bCs/>
          <w:sz w:val="21"/>
          <w:szCs w:val="21"/>
        </w:rPr>
        <w:t>) and Mark Rollins</w:t>
      </w:r>
      <w:r w:rsidRPr="00AC5679">
        <w:rPr>
          <w:rFonts w:eastAsia="MS Mincho" w:cs="Arial"/>
          <w:b/>
          <w:bCs/>
          <w:sz w:val="21"/>
          <w:szCs w:val="21"/>
        </w:rPr>
        <w:t xml:space="preserve">. </w:t>
      </w:r>
    </w:p>
    <w:p w14:paraId="36782E55"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B963C89"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Audit Committee aims to meet at least three times each year. The Audit Committee is responsible for assisting the Board’s oversight of the integrity of the financial statements and other financial reporting, the independence and performance of Lubbock Fine LLP, the regulation and risk profile of the Group and the review and approval of any related party transactions.</w:t>
      </w:r>
      <w:r>
        <w:rPr>
          <w:rFonts w:eastAsia="MS Mincho" w:cs="Arial"/>
          <w:sz w:val="21"/>
          <w:szCs w:val="21"/>
        </w:rPr>
        <w:t xml:space="preserve"> </w:t>
      </w:r>
      <w:r w:rsidRPr="00CB0627">
        <w:rPr>
          <w:rFonts w:eastAsia="MS Mincho" w:cs="Arial"/>
          <w:sz w:val="21"/>
          <w:szCs w:val="21"/>
        </w:rPr>
        <w:t xml:space="preserve">The Audit Committee may hold private sessions with management and Lubbock Fine without management present. Further, the Audit Committee is responsible for making recommendations to the Board on the appointment of Lubbock Fine and the audit fee and reviews reports from management and Lubbock Fine on the financial accounts and internal control systems used throughout the Company and the Group. </w:t>
      </w:r>
    </w:p>
    <w:p w14:paraId="0D9D1C74"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F5948F5"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Audit Committee also reviews arrangements by which the staff of the Company and the Group may, in confidence, raise concerns about possible improprieties in matters of financial reporting or other matters and ensure that arrangements are in place for the proportionate and independent investigation of such matters with appropriate follow-up action. Where necessary, the Audit Committee will obtain specialist external advice from appropriate advisers.</w:t>
      </w:r>
    </w:p>
    <w:p w14:paraId="7F50CF65"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A314136"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AC5679">
        <w:rPr>
          <w:rFonts w:eastAsia="MS Mincho" w:cs="Arial"/>
          <w:b/>
          <w:bCs/>
          <w:sz w:val="21"/>
          <w:szCs w:val="21"/>
        </w:rPr>
        <w:t>Role of the Market Disclosures Committee</w:t>
      </w:r>
      <w:r w:rsidRPr="00CB0627">
        <w:rPr>
          <w:rFonts w:eastAsia="MS Mincho" w:cs="Arial"/>
          <w:sz w:val="21"/>
          <w:szCs w:val="21"/>
        </w:rPr>
        <w:t xml:space="preserve">: </w:t>
      </w:r>
      <w:r w:rsidRPr="00AC5679">
        <w:rPr>
          <w:rFonts w:eastAsia="MS Mincho" w:cs="Arial"/>
          <w:b/>
          <w:bCs/>
          <w:sz w:val="21"/>
          <w:szCs w:val="21"/>
        </w:rPr>
        <w:t xml:space="preserve">The members are Ross Warner </w:t>
      </w:r>
      <w:r>
        <w:rPr>
          <w:rFonts w:eastAsia="MS Mincho" w:cs="Arial"/>
          <w:b/>
          <w:bCs/>
          <w:sz w:val="21"/>
          <w:szCs w:val="21"/>
        </w:rPr>
        <w:t>(</w:t>
      </w:r>
      <w:r w:rsidRPr="00AC5679">
        <w:rPr>
          <w:rFonts w:eastAsia="MS Mincho" w:cs="Arial"/>
          <w:b/>
          <w:bCs/>
          <w:sz w:val="21"/>
          <w:szCs w:val="21"/>
        </w:rPr>
        <w:t>Chair</w:t>
      </w:r>
      <w:r>
        <w:rPr>
          <w:rFonts w:eastAsia="MS Mincho" w:cs="Arial"/>
          <w:b/>
          <w:bCs/>
          <w:sz w:val="21"/>
          <w:szCs w:val="21"/>
        </w:rPr>
        <w:t>)</w:t>
      </w:r>
      <w:r w:rsidRPr="00AC5679">
        <w:rPr>
          <w:rFonts w:eastAsia="MS Mincho" w:cs="Arial"/>
          <w:b/>
          <w:bCs/>
          <w:sz w:val="21"/>
          <w:szCs w:val="21"/>
        </w:rPr>
        <w:t xml:space="preserve"> and </w:t>
      </w:r>
      <w:r>
        <w:rPr>
          <w:rFonts w:eastAsia="MS Mincho" w:cs="Arial"/>
          <w:b/>
          <w:bCs/>
          <w:sz w:val="21"/>
          <w:szCs w:val="21"/>
        </w:rPr>
        <w:t>Mark Rollins</w:t>
      </w:r>
      <w:r w:rsidRPr="00AC5679">
        <w:rPr>
          <w:rFonts w:eastAsia="MS Mincho" w:cs="Arial"/>
          <w:b/>
          <w:bCs/>
          <w:sz w:val="21"/>
          <w:szCs w:val="21"/>
        </w:rPr>
        <w:t>.</w:t>
      </w:r>
    </w:p>
    <w:p w14:paraId="2E9FA7A2"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DEEC4B9"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Committee monitors the Company’s compliance with the AIM Rules and UK MAR and seek to ensure that the Company’s Nominated Adviser is maintaining contact with the Company on a regular basis and vice versa. The committee will ensure that procedures, resources and controls are in place with a view to ensuring the Company’s compliance with the AIM Rules and UK MAR. The committee also ensures that each meeting of the Board includes a discussion of AIM matters and assesses (with the assistance of the Company’s Nominated Adviser and other advisers, as appropriate) whether the </w:t>
      </w:r>
      <w:r w:rsidRPr="00CB0627">
        <w:rPr>
          <w:rFonts w:eastAsia="MS Mincho" w:cs="Arial"/>
          <w:sz w:val="21"/>
          <w:szCs w:val="21"/>
        </w:rPr>
        <w:lastRenderedPageBreak/>
        <w:t>Directors are aware of their AIM responsibilities from time to time and, if not, ensures that they are appropriately updated on their AIM responsibilities and obligations.</w:t>
      </w:r>
    </w:p>
    <w:p w14:paraId="0BFDC301"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12EB004"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17235B34"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26E93E3"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72C3592" w14:textId="77777777" w:rsidR="00AF0489" w:rsidRPr="00CB0627" w:rsidRDefault="00AF0489" w:rsidP="00AF0489">
      <w:pPr>
        <w:overflowPunct/>
        <w:autoSpaceDE/>
        <w:autoSpaceDN/>
        <w:adjustRightInd/>
        <w:spacing w:after="200" w:line="276" w:lineRule="auto"/>
        <w:textAlignment w:val="auto"/>
        <w:rPr>
          <w:rFonts w:ascii="Calibri" w:eastAsia="Calibri" w:hAnsi="Calibri" w:cs="Calibri"/>
          <w:sz w:val="21"/>
          <w:szCs w:val="21"/>
          <w:lang w:eastAsia="en-GB"/>
        </w:rPr>
      </w:pPr>
      <w:r>
        <w:rPr>
          <w:rFonts w:ascii="Calibri" w:eastAsia="Calibri" w:hAnsi="Calibri" w:cs="Calibri"/>
          <w:b/>
          <w:bCs/>
          <w:sz w:val="21"/>
          <w:szCs w:val="21"/>
          <w:lang w:eastAsia="en-GB"/>
        </w:rPr>
        <w:t>R</w:t>
      </w:r>
      <w:r w:rsidRPr="00CB0627">
        <w:rPr>
          <w:rFonts w:ascii="Calibri" w:eastAsia="Calibri" w:hAnsi="Calibri" w:cs="Calibri"/>
          <w:b/>
          <w:bCs/>
          <w:sz w:val="21"/>
          <w:szCs w:val="21"/>
          <w:lang w:eastAsia="en-GB"/>
        </w:rPr>
        <w:t>ole of the Remuneration Committee:</w:t>
      </w:r>
      <w:r w:rsidRPr="00CB0627">
        <w:rPr>
          <w:rFonts w:ascii="Calibri" w:eastAsia="Calibri" w:hAnsi="Calibri" w:cs="Calibri"/>
          <w:sz w:val="21"/>
          <w:szCs w:val="21"/>
          <w:lang w:eastAsia="en-GB"/>
        </w:rPr>
        <w:t xml:space="preserve"> </w:t>
      </w:r>
      <w:r w:rsidRPr="00AC5679">
        <w:rPr>
          <w:rFonts w:ascii="Calibri" w:eastAsia="Calibri" w:hAnsi="Calibri" w:cs="Calibri"/>
          <w:b/>
          <w:bCs/>
          <w:sz w:val="21"/>
          <w:szCs w:val="21"/>
          <w:lang w:eastAsia="en-GB"/>
        </w:rPr>
        <w:t>The members are Mark Rollins</w:t>
      </w:r>
      <w:r>
        <w:rPr>
          <w:rFonts w:ascii="Calibri" w:eastAsia="Calibri" w:hAnsi="Calibri" w:cs="Calibri"/>
          <w:b/>
          <w:bCs/>
          <w:sz w:val="21"/>
          <w:szCs w:val="21"/>
          <w:lang w:eastAsia="en-GB"/>
        </w:rPr>
        <w:t xml:space="preserve"> (</w:t>
      </w:r>
      <w:r w:rsidRPr="00AC5679">
        <w:rPr>
          <w:rFonts w:ascii="Calibri" w:eastAsia="Calibri" w:hAnsi="Calibri" w:cs="Calibri"/>
          <w:b/>
          <w:bCs/>
          <w:sz w:val="21"/>
          <w:szCs w:val="21"/>
          <w:lang w:eastAsia="en-GB"/>
        </w:rPr>
        <w:t>Chair</w:t>
      </w:r>
      <w:r>
        <w:rPr>
          <w:rFonts w:ascii="Calibri" w:eastAsia="Calibri" w:hAnsi="Calibri" w:cs="Calibri"/>
          <w:b/>
          <w:bCs/>
          <w:sz w:val="21"/>
          <w:szCs w:val="21"/>
          <w:lang w:eastAsia="en-GB"/>
        </w:rPr>
        <w:t>)</w:t>
      </w:r>
      <w:r w:rsidRPr="00AC5679">
        <w:rPr>
          <w:rFonts w:ascii="Calibri" w:eastAsia="Calibri" w:hAnsi="Calibri" w:cs="Calibri"/>
          <w:b/>
          <w:bCs/>
          <w:sz w:val="21"/>
          <w:szCs w:val="21"/>
          <w:lang w:eastAsia="en-GB"/>
        </w:rPr>
        <w:t xml:space="preserve"> and Ross Warner.</w:t>
      </w:r>
    </w:p>
    <w:p w14:paraId="660FEE2A"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Remuneration Committee meets up to twice a year. The Remuneration Committee is responsible for considering all material elements of remuneration policy, the remuneration and incentivisation of Executive Directors and senior management (as appropriate) and to make recommendations to the Board on the framework for executive remuneration and its cost. The role of the Remuneration Committee is to keep under review the Company’s remuneration policies to ensure that the Company attracts, retains and motivates the most qualified talent who will contribute to the long-term success of the Company. The Remuneration Committee also reviews the performance of the </w:t>
      </w:r>
      <w:r>
        <w:rPr>
          <w:rFonts w:eastAsia="MS Mincho" w:cs="Arial"/>
          <w:sz w:val="21"/>
          <w:szCs w:val="21"/>
        </w:rPr>
        <w:t xml:space="preserve">executive directors(s) </w:t>
      </w:r>
      <w:r w:rsidRPr="00CB0627">
        <w:rPr>
          <w:rFonts w:eastAsia="MS Mincho" w:cs="Arial"/>
          <w:sz w:val="21"/>
          <w:szCs w:val="21"/>
        </w:rPr>
        <w:t>and sets the scale and structure of their remuneration, including the implementation of any bonus arrangements, with due regard to the interests of shareholders. The Remuneration Committee is also responsible for granting options under the Company’s share option plan and, in particular, the price per share and the application of the performance standards which may apply to any grant, ensuring in determining such remuneration packages and arrangements, due regard is given to any relevant legal requirements, the provisions and recommendations in the AIM Rules and the QCA Code.</w:t>
      </w:r>
    </w:p>
    <w:p w14:paraId="0C30B015"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2DFBB8B"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b/>
          <w:bCs/>
          <w:sz w:val="21"/>
          <w:szCs w:val="21"/>
        </w:rPr>
        <w:t>Role of the Nomination Committee</w:t>
      </w:r>
      <w:r w:rsidRPr="00DE1F56">
        <w:rPr>
          <w:rFonts w:eastAsia="MS Mincho" w:cs="Arial"/>
          <w:b/>
          <w:bCs/>
          <w:sz w:val="21"/>
          <w:szCs w:val="21"/>
        </w:rPr>
        <w:t>:</w:t>
      </w:r>
      <w:r w:rsidRPr="00AC5679">
        <w:rPr>
          <w:rFonts w:eastAsia="MS Mincho" w:cs="Arial"/>
          <w:b/>
          <w:bCs/>
          <w:sz w:val="21"/>
          <w:szCs w:val="21"/>
        </w:rPr>
        <w:t xml:space="preserve"> The members are Mark Rollins</w:t>
      </w:r>
      <w:r>
        <w:rPr>
          <w:rFonts w:eastAsia="MS Mincho" w:cs="Arial"/>
          <w:b/>
          <w:bCs/>
          <w:sz w:val="21"/>
          <w:szCs w:val="21"/>
        </w:rPr>
        <w:t xml:space="preserve"> (</w:t>
      </w:r>
      <w:r w:rsidRPr="00AC5679">
        <w:rPr>
          <w:rFonts w:eastAsia="MS Mincho" w:cs="Arial"/>
          <w:b/>
          <w:bCs/>
          <w:sz w:val="21"/>
          <w:szCs w:val="21"/>
        </w:rPr>
        <w:t>Chair</w:t>
      </w:r>
      <w:r>
        <w:rPr>
          <w:rFonts w:eastAsia="MS Mincho" w:cs="Arial"/>
          <w:b/>
          <w:bCs/>
          <w:sz w:val="21"/>
          <w:szCs w:val="21"/>
        </w:rPr>
        <w:t>)</w:t>
      </w:r>
      <w:r w:rsidRPr="00AC5679">
        <w:rPr>
          <w:rFonts w:eastAsia="MS Mincho" w:cs="Arial"/>
          <w:b/>
          <w:bCs/>
          <w:sz w:val="21"/>
          <w:szCs w:val="21"/>
        </w:rPr>
        <w:t xml:space="preserve"> and </w:t>
      </w:r>
      <w:r>
        <w:rPr>
          <w:rFonts w:eastAsia="MS Mincho" w:cs="Arial"/>
          <w:b/>
          <w:bCs/>
          <w:sz w:val="21"/>
          <w:szCs w:val="21"/>
        </w:rPr>
        <w:t>Ross Warner</w:t>
      </w:r>
      <w:r w:rsidRPr="00AC5679">
        <w:rPr>
          <w:rFonts w:eastAsia="MS Mincho" w:cs="Arial"/>
          <w:b/>
          <w:bCs/>
          <w:sz w:val="21"/>
          <w:szCs w:val="21"/>
        </w:rPr>
        <w:t>.</w:t>
      </w:r>
    </w:p>
    <w:p w14:paraId="1C2A99E4"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95E83DD"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Nomination Committee meets at least three times a year at appropriate intervals. The Nominations Committee is responsible for reviewing and making proposals to the Board on the appointment of directors, reviewing succession plans and ensuring that the performance of directors is assessed on an ongoing basis.</w:t>
      </w:r>
    </w:p>
    <w:p w14:paraId="29F58C6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4C1914F4"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services of each of the Board members as directors are provided under the terms of their letters of appointment. The responsibilities of the board members are outlined in the Accounts and summarised below.</w:t>
      </w:r>
    </w:p>
    <w:p w14:paraId="7945A8EF"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directors are responsible for maintaining proper accounting records that are sufficient to show and explain the Company’s transactions and disclose with reasonable accuracy at any time the financial position of the Company and enable them to ensure that the financial statements comply with the Isle of Man Companies Act 2006. They are also responsible for the system of internal control, for safeguarding the assets of the Company and hence for taking reasonable steps for the prevention and detection of fraud and other irregularities. </w:t>
      </w:r>
    </w:p>
    <w:p w14:paraId="006EBFEE"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3C5BE8A"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The directors are responsible for the maintenance and integrity of the corporate and financial information included on the Company’s website. Legislation in the Isle of Man governing the preparation and dissemination of financial statements may differ from legislation in other jurisdictions. </w:t>
      </w:r>
    </w:p>
    <w:p w14:paraId="442B8D00"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55CD0850"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Whilst there are no formal adoption of matters reserved for the Board, the Directors review and approve the following:</w:t>
      </w:r>
    </w:p>
    <w:p w14:paraId="35C4B5FC"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Cs w:val="18"/>
        </w:rPr>
      </w:pPr>
    </w:p>
    <w:p w14:paraId="568664FB"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Strategy and management</w:t>
      </w:r>
    </w:p>
    <w:p w14:paraId="7CDCC241"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Policies and procedures</w:t>
      </w:r>
    </w:p>
    <w:p w14:paraId="3C1525FC"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Financial reporting and controls</w:t>
      </w:r>
    </w:p>
    <w:p w14:paraId="125EFD75"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 xml:space="preserve">Capital structure </w:t>
      </w:r>
    </w:p>
    <w:p w14:paraId="612E1ADD"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Contracts</w:t>
      </w:r>
    </w:p>
    <w:p w14:paraId="40C97451"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t xml:space="preserve">Shareholder documents / Press announcements </w:t>
      </w:r>
    </w:p>
    <w:p w14:paraId="0B800DB6" w14:textId="77777777" w:rsidR="00AF0489" w:rsidRPr="00CB0627" w:rsidRDefault="00AF0489" w:rsidP="00AF0489">
      <w:pPr>
        <w:pStyle w:val="ListParagraph"/>
        <w:numPr>
          <w:ilvl w:val="0"/>
          <w:numId w:val="1"/>
        </w:numPr>
        <w:tabs>
          <w:tab w:val="left" w:pos="346"/>
          <w:tab w:val="left" w:pos="1152"/>
          <w:tab w:val="decimal" w:pos="6048"/>
          <w:tab w:val="decimal" w:pos="7344"/>
          <w:tab w:val="decimal" w:pos="8640"/>
          <w:tab w:val="decimal" w:pos="9878"/>
        </w:tabs>
        <w:contextualSpacing w:val="0"/>
        <w:rPr>
          <w:rFonts w:eastAsia="MS Mincho" w:cs="Arial"/>
          <w:sz w:val="21"/>
          <w:szCs w:val="21"/>
        </w:rPr>
      </w:pPr>
      <w:r w:rsidRPr="00CB0627">
        <w:rPr>
          <w:rFonts w:eastAsia="MS Mincho" w:cs="Arial"/>
          <w:sz w:val="21"/>
          <w:szCs w:val="21"/>
        </w:rPr>
        <w:lastRenderedPageBreak/>
        <w:t>Adherence to Corporate Governance and best practice procedures</w:t>
      </w:r>
    </w:p>
    <w:p w14:paraId="4A9AC12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2DEFE9CE"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structures and risk appetite disclosures on the website and the Accounts are deemed sufficient in relation to the size and strategy of the Company.</w:t>
      </w:r>
    </w:p>
    <w:p w14:paraId="67E93D0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Cs w:val="18"/>
        </w:rPr>
      </w:pPr>
    </w:p>
    <w:p w14:paraId="79D63FE7" w14:textId="77777777" w:rsidR="00AF0489" w:rsidRPr="00CB0627" w:rsidRDefault="00AF0489" w:rsidP="00AF0489">
      <w:pPr>
        <w:overflowPunct/>
        <w:autoSpaceDE/>
        <w:autoSpaceDN/>
        <w:adjustRightInd/>
        <w:spacing w:after="200" w:line="276" w:lineRule="auto"/>
        <w:textAlignment w:val="auto"/>
        <w:rPr>
          <w:rFonts w:ascii="Calibri" w:eastAsia="Calibri" w:hAnsi="Calibri" w:cs="Calibri"/>
          <w:b/>
          <w:i/>
          <w:color w:val="221E1F"/>
          <w:sz w:val="22"/>
          <w:szCs w:val="22"/>
          <w:lang w:eastAsia="en-US"/>
        </w:rPr>
      </w:pPr>
      <w:r w:rsidRPr="00CB0627">
        <w:rPr>
          <w:rFonts w:ascii="Calibri" w:eastAsia="Calibri" w:hAnsi="Calibri" w:cs="Calibri"/>
          <w:b/>
          <w:i/>
          <w:color w:val="221E1F"/>
          <w:sz w:val="22"/>
          <w:szCs w:val="22"/>
          <w:lang w:eastAsia="en-US"/>
        </w:rPr>
        <w:t>Non-Executive Directors</w:t>
      </w:r>
    </w:p>
    <w:p w14:paraId="2B5E7A61"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Board has adopted guidelines for the appointment of Non-Executive Directors. These provide for the orderly and constructive succession and rotation of the Non-Executive Chairman and non-executive directors insofar as both the Non-Executive Chairman and non-executive directors will be appointed for an initial term of three years and may, at the Board's discretion, believing it to be in the best interests of the Company, be appointed for subsequent terms.</w:t>
      </w:r>
    </w:p>
    <w:p w14:paraId="62899FA5"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Cs w:val="18"/>
        </w:rPr>
      </w:pPr>
    </w:p>
    <w:p w14:paraId="54BE76EC" w14:textId="77777777" w:rsidR="00AF0489" w:rsidRDefault="00AF0489" w:rsidP="00AF0489">
      <w:pPr>
        <w:overflowPunct/>
        <w:autoSpaceDE/>
        <w:autoSpaceDN/>
        <w:adjustRightInd/>
        <w:spacing w:after="200" w:line="276" w:lineRule="auto"/>
        <w:textAlignment w:val="auto"/>
        <w:rPr>
          <w:rFonts w:ascii="Calibri" w:eastAsia="Calibri" w:hAnsi="Calibri" w:cs="Calibri"/>
          <w:b/>
          <w:i/>
          <w:color w:val="221E1F"/>
          <w:sz w:val="22"/>
          <w:szCs w:val="22"/>
          <w:lang w:eastAsia="en-US"/>
        </w:rPr>
      </w:pPr>
    </w:p>
    <w:p w14:paraId="29E530D9" w14:textId="77777777" w:rsidR="00AF0489" w:rsidRPr="00CB0627" w:rsidRDefault="00AF0489" w:rsidP="00AF0489">
      <w:pPr>
        <w:overflowPunct/>
        <w:autoSpaceDE/>
        <w:autoSpaceDN/>
        <w:adjustRightInd/>
        <w:spacing w:after="200" w:line="276" w:lineRule="auto"/>
        <w:textAlignment w:val="auto"/>
        <w:rPr>
          <w:rFonts w:ascii="Calibri" w:eastAsia="Calibri" w:hAnsi="Calibri" w:cs="Calibri"/>
          <w:b/>
          <w:i/>
          <w:color w:val="221E1F"/>
          <w:sz w:val="22"/>
          <w:szCs w:val="22"/>
          <w:lang w:eastAsia="en-US"/>
        </w:rPr>
      </w:pPr>
      <w:r w:rsidRPr="00CB0627">
        <w:rPr>
          <w:rFonts w:ascii="Calibri" w:eastAsia="Calibri" w:hAnsi="Calibri" w:cs="Calibri"/>
          <w:b/>
          <w:i/>
          <w:color w:val="221E1F"/>
          <w:sz w:val="22"/>
          <w:szCs w:val="22"/>
          <w:lang w:eastAsia="en-US"/>
        </w:rPr>
        <w:t xml:space="preserve">Principle 10 </w:t>
      </w:r>
      <w:r w:rsidRPr="00CB0627">
        <w:rPr>
          <w:rFonts w:ascii="Calibri" w:eastAsia="Calibri" w:hAnsi="Calibri" w:cs="Calibri"/>
          <w:b/>
          <w:i/>
          <w:color w:val="221E1F"/>
          <w:sz w:val="22"/>
          <w:szCs w:val="22"/>
          <w:lang w:eastAsia="en-US"/>
        </w:rPr>
        <w:tab/>
      </w:r>
    </w:p>
    <w:p w14:paraId="588FCB00" w14:textId="77777777" w:rsidR="00AF0489" w:rsidRPr="00CB0627" w:rsidRDefault="00AF0489" w:rsidP="00AF0489">
      <w:pPr>
        <w:overflowPunct/>
        <w:autoSpaceDE/>
        <w:autoSpaceDN/>
        <w:adjustRightInd/>
        <w:spacing w:after="200" w:line="276" w:lineRule="auto"/>
        <w:textAlignment w:val="auto"/>
        <w:rPr>
          <w:rFonts w:ascii="Calibri" w:eastAsia="Calibri" w:hAnsi="Calibri" w:cs="Calibri"/>
          <w:b/>
          <w:i/>
          <w:color w:val="221E1F"/>
          <w:sz w:val="22"/>
          <w:szCs w:val="22"/>
          <w:lang w:eastAsia="en-US"/>
        </w:rPr>
      </w:pPr>
      <w:r w:rsidRPr="00CB0627">
        <w:rPr>
          <w:rFonts w:ascii="Calibri" w:eastAsia="Calibri" w:hAnsi="Calibri" w:cs="Calibri"/>
          <w:b/>
          <w:i/>
          <w:color w:val="221E1F"/>
          <w:sz w:val="22"/>
          <w:szCs w:val="22"/>
          <w:lang w:eastAsia="en-US"/>
        </w:rPr>
        <w:t>Communicate how the Company is governed and is performing by maintaining a dialogue with shareholders and other relevant stakeholders</w:t>
      </w:r>
    </w:p>
    <w:p w14:paraId="1F6B947F"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Company</w:t>
      </w:r>
      <w:r>
        <w:rPr>
          <w:rFonts w:eastAsia="MS Mincho" w:cs="Arial"/>
          <w:sz w:val="21"/>
          <w:szCs w:val="21"/>
        </w:rPr>
        <w:t xml:space="preserve"> provides</w:t>
      </w:r>
      <w:r w:rsidRPr="00CB0627">
        <w:rPr>
          <w:rFonts w:eastAsia="MS Mincho" w:cs="Arial"/>
          <w:sz w:val="21"/>
          <w:szCs w:val="21"/>
        </w:rPr>
        <w:t xml:space="preserve"> </w:t>
      </w:r>
      <w:r>
        <w:rPr>
          <w:rFonts w:eastAsia="MS Mincho" w:cs="Arial"/>
          <w:sz w:val="21"/>
          <w:szCs w:val="21"/>
        </w:rPr>
        <w:t>updates and Company news</w:t>
      </w:r>
      <w:r w:rsidRPr="00CB0627">
        <w:rPr>
          <w:rFonts w:eastAsia="MS Mincho" w:cs="Arial"/>
          <w:sz w:val="21"/>
          <w:szCs w:val="21"/>
        </w:rPr>
        <w:t xml:space="preserve"> </w:t>
      </w:r>
      <w:r>
        <w:rPr>
          <w:rFonts w:eastAsia="MS Mincho" w:cs="Arial"/>
          <w:sz w:val="21"/>
          <w:szCs w:val="21"/>
        </w:rPr>
        <w:t>to</w:t>
      </w:r>
      <w:r w:rsidRPr="00CB0627">
        <w:rPr>
          <w:rFonts w:eastAsia="MS Mincho" w:cs="Arial"/>
          <w:sz w:val="21"/>
          <w:szCs w:val="21"/>
        </w:rPr>
        <w:t xml:space="preserve"> shareholders via regulatory announcements</w:t>
      </w:r>
      <w:r>
        <w:rPr>
          <w:rFonts w:eastAsia="MS Mincho" w:cs="Arial"/>
          <w:sz w:val="21"/>
          <w:szCs w:val="21"/>
        </w:rPr>
        <w:t xml:space="preserve">, such announcements relate to </w:t>
      </w:r>
      <w:r w:rsidRPr="00CB0627">
        <w:rPr>
          <w:rFonts w:eastAsia="MS Mincho" w:cs="Arial"/>
          <w:sz w:val="21"/>
          <w:szCs w:val="21"/>
        </w:rPr>
        <w:t xml:space="preserve">the Accounts, full-year </w:t>
      </w:r>
      <w:r>
        <w:rPr>
          <w:rFonts w:eastAsia="MS Mincho" w:cs="Arial"/>
          <w:sz w:val="21"/>
          <w:szCs w:val="21"/>
        </w:rPr>
        <w:t xml:space="preserve">(hard copies are also posted to shareholders), </w:t>
      </w:r>
      <w:r w:rsidRPr="00CB0627">
        <w:rPr>
          <w:rFonts w:eastAsia="MS Mincho" w:cs="Arial"/>
          <w:sz w:val="21"/>
          <w:szCs w:val="21"/>
        </w:rPr>
        <w:t>and half-year announcements</w:t>
      </w:r>
      <w:r>
        <w:rPr>
          <w:rFonts w:eastAsia="MS Mincho" w:cs="Arial"/>
          <w:sz w:val="21"/>
          <w:szCs w:val="21"/>
        </w:rPr>
        <w:t>. S</w:t>
      </w:r>
      <w:r w:rsidRPr="00CB0627">
        <w:rPr>
          <w:rFonts w:eastAsia="MS Mincho" w:cs="Arial"/>
          <w:sz w:val="21"/>
          <w:szCs w:val="21"/>
        </w:rPr>
        <w:t>hareholder</w:t>
      </w:r>
      <w:r>
        <w:rPr>
          <w:rFonts w:eastAsia="MS Mincho" w:cs="Arial"/>
          <w:sz w:val="21"/>
          <w:szCs w:val="21"/>
        </w:rPr>
        <w:t>s</w:t>
      </w:r>
      <w:r w:rsidRPr="00CB0627">
        <w:rPr>
          <w:rFonts w:eastAsia="MS Mincho" w:cs="Arial"/>
          <w:sz w:val="21"/>
          <w:szCs w:val="21"/>
        </w:rPr>
        <w:t xml:space="preserve"> and investors can email the directors and Company Secretary with any queries they may have. </w:t>
      </w:r>
    </w:p>
    <w:p w14:paraId="7D2C8946"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Cs w:val="18"/>
        </w:rPr>
      </w:pPr>
    </w:p>
    <w:p w14:paraId="309B4B06"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 xml:space="preserve">All historical information is maintained on the website along with shareholder updates. The Company’s financial reports and notices of General Meetings of the Company for the last five years can be found here </w:t>
      </w:r>
      <w:r w:rsidRPr="001E0E45">
        <w:rPr>
          <w:rFonts w:eastAsia="MS Mincho" w:cs="Arial"/>
          <w:sz w:val="21"/>
          <w:szCs w:val="21"/>
        </w:rPr>
        <w:t>https://beaconenergyplc.com/investor-relations/corporate-documents/</w:t>
      </w:r>
    </w:p>
    <w:p w14:paraId="509A041D" w14:textId="77777777" w:rsidR="00AF0489" w:rsidRPr="00CB0627" w:rsidRDefault="00AF0489" w:rsidP="00AF0489">
      <w:pPr>
        <w:tabs>
          <w:tab w:val="left" w:pos="346"/>
          <w:tab w:val="left" w:pos="1152"/>
          <w:tab w:val="decimal" w:pos="6048"/>
          <w:tab w:val="decimal" w:pos="7344"/>
          <w:tab w:val="decimal" w:pos="8640"/>
          <w:tab w:val="decimal" w:pos="9878"/>
        </w:tabs>
        <w:rPr>
          <w:rFonts w:eastAsia="MS Mincho" w:cs="Arial"/>
          <w:sz w:val="20"/>
        </w:rPr>
      </w:pPr>
    </w:p>
    <w:p w14:paraId="3F9CABB2"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r w:rsidRPr="00CB0627">
        <w:rPr>
          <w:rFonts w:eastAsia="MS Mincho" w:cs="Arial"/>
          <w:sz w:val="21"/>
          <w:szCs w:val="21"/>
        </w:rPr>
        <w:t>The outcome of all resolutions tabled at general meetings are to be posted on the Company’s website and also announced via RNS.</w:t>
      </w:r>
      <w:r>
        <w:rPr>
          <w:rFonts w:eastAsia="MS Mincho" w:cs="Arial"/>
          <w:sz w:val="21"/>
          <w:szCs w:val="21"/>
        </w:rPr>
        <w:t xml:space="preserve"> </w:t>
      </w:r>
      <w:r w:rsidRPr="00CB0627">
        <w:rPr>
          <w:rFonts w:eastAsia="MS Mincho" w:cs="Arial"/>
          <w:sz w:val="21"/>
          <w:szCs w:val="21"/>
        </w:rPr>
        <w:t xml:space="preserve">If a significant proportion of independent votes were to be cast against a resolution at any general meeting, the Board’s policy would be to engage with the shareholders concerned in order to understand the reasons behind the voting results.  </w:t>
      </w:r>
    </w:p>
    <w:p w14:paraId="7873995D" w14:textId="77777777" w:rsidR="00AF0489" w:rsidRDefault="00AF0489" w:rsidP="00AF0489">
      <w:pPr>
        <w:tabs>
          <w:tab w:val="left" w:pos="346"/>
          <w:tab w:val="left" w:pos="1152"/>
          <w:tab w:val="decimal" w:pos="6048"/>
          <w:tab w:val="decimal" w:pos="7344"/>
          <w:tab w:val="decimal" w:pos="8640"/>
          <w:tab w:val="decimal" w:pos="9878"/>
        </w:tabs>
        <w:rPr>
          <w:rFonts w:eastAsia="MS Mincho" w:cs="Arial"/>
          <w:sz w:val="21"/>
          <w:szCs w:val="21"/>
        </w:rPr>
      </w:pPr>
    </w:p>
    <w:p w14:paraId="32DD17DF" w14:textId="77777777" w:rsidR="00956984" w:rsidRDefault="00956984"/>
    <w:sectPr w:rsidR="009569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2C3FE4"/>
    <w:multiLevelType w:val="hybridMultilevel"/>
    <w:tmpl w:val="B348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79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89"/>
    <w:rsid w:val="000014FB"/>
    <w:rsid w:val="00135FBE"/>
    <w:rsid w:val="001A11C3"/>
    <w:rsid w:val="001A3A80"/>
    <w:rsid w:val="001B2DB7"/>
    <w:rsid w:val="001F476F"/>
    <w:rsid w:val="0020225F"/>
    <w:rsid w:val="00391CB5"/>
    <w:rsid w:val="003B6AC9"/>
    <w:rsid w:val="0051245D"/>
    <w:rsid w:val="006E349F"/>
    <w:rsid w:val="008A3D31"/>
    <w:rsid w:val="008B4BB9"/>
    <w:rsid w:val="00956984"/>
    <w:rsid w:val="009C4DD9"/>
    <w:rsid w:val="00AF0489"/>
    <w:rsid w:val="00B05C72"/>
    <w:rsid w:val="00B76E18"/>
    <w:rsid w:val="00D7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96AC71"/>
  <w15:chartTrackingRefBased/>
  <w15:docId w15:val="{BAA6A9F7-9485-4304-8C2C-A3CF80D5F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0489"/>
    <w:pPr>
      <w:overflowPunct w:val="0"/>
      <w:autoSpaceDE w:val="0"/>
      <w:autoSpaceDN w:val="0"/>
      <w:adjustRightInd w:val="0"/>
      <w:spacing w:after="0" w:line="240" w:lineRule="auto"/>
      <w:jc w:val="both"/>
      <w:textAlignment w:val="baseline"/>
    </w:pPr>
    <w:rPr>
      <w:rFonts w:eastAsia="Times New Roman" w:cs="Times New Roman"/>
      <w:kern w:val="0"/>
      <w:sz w:val="18"/>
      <w:szCs w:val="20"/>
      <w:lang w:eastAsia="zh-CN"/>
      <w14:ligatures w14:val="none"/>
    </w:rPr>
  </w:style>
  <w:style w:type="paragraph" w:styleId="Heading1">
    <w:name w:val="heading 1"/>
    <w:basedOn w:val="Normal"/>
    <w:next w:val="Normal"/>
    <w:link w:val="Heading1Char"/>
    <w:uiPriority w:val="9"/>
    <w:qFormat/>
    <w:rsid w:val="00AF04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04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04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04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04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048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048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048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048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4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04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04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04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04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04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04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04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0489"/>
    <w:rPr>
      <w:rFonts w:eastAsiaTheme="majorEastAsia" w:cstheme="majorBidi"/>
      <w:color w:val="272727" w:themeColor="text1" w:themeTint="D8"/>
    </w:rPr>
  </w:style>
  <w:style w:type="paragraph" w:styleId="Title">
    <w:name w:val="Title"/>
    <w:basedOn w:val="Normal"/>
    <w:next w:val="Normal"/>
    <w:link w:val="TitleChar"/>
    <w:uiPriority w:val="10"/>
    <w:qFormat/>
    <w:rsid w:val="00AF048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04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04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04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0489"/>
    <w:pPr>
      <w:spacing w:before="160"/>
      <w:jc w:val="center"/>
    </w:pPr>
    <w:rPr>
      <w:i/>
      <w:iCs/>
      <w:color w:val="404040" w:themeColor="text1" w:themeTint="BF"/>
    </w:rPr>
  </w:style>
  <w:style w:type="character" w:customStyle="1" w:styleId="QuoteChar">
    <w:name w:val="Quote Char"/>
    <w:basedOn w:val="DefaultParagraphFont"/>
    <w:link w:val="Quote"/>
    <w:uiPriority w:val="29"/>
    <w:rsid w:val="00AF0489"/>
    <w:rPr>
      <w:i/>
      <w:iCs/>
      <w:color w:val="404040" w:themeColor="text1" w:themeTint="BF"/>
    </w:rPr>
  </w:style>
  <w:style w:type="paragraph" w:styleId="ListParagraph">
    <w:name w:val="List Paragraph"/>
    <w:basedOn w:val="Normal"/>
    <w:uiPriority w:val="34"/>
    <w:qFormat/>
    <w:rsid w:val="00AF0489"/>
    <w:pPr>
      <w:ind w:left="720"/>
      <w:contextualSpacing/>
    </w:pPr>
  </w:style>
  <w:style w:type="character" w:styleId="IntenseEmphasis">
    <w:name w:val="Intense Emphasis"/>
    <w:basedOn w:val="DefaultParagraphFont"/>
    <w:uiPriority w:val="21"/>
    <w:qFormat/>
    <w:rsid w:val="00AF0489"/>
    <w:rPr>
      <w:i/>
      <w:iCs/>
      <w:color w:val="0F4761" w:themeColor="accent1" w:themeShade="BF"/>
    </w:rPr>
  </w:style>
  <w:style w:type="paragraph" w:styleId="IntenseQuote">
    <w:name w:val="Intense Quote"/>
    <w:basedOn w:val="Normal"/>
    <w:next w:val="Normal"/>
    <w:link w:val="IntenseQuoteChar"/>
    <w:uiPriority w:val="30"/>
    <w:qFormat/>
    <w:rsid w:val="00AF04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0489"/>
    <w:rPr>
      <w:i/>
      <w:iCs/>
      <w:color w:val="0F4761" w:themeColor="accent1" w:themeShade="BF"/>
    </w:rPr>
  </w:style>
  <w:style w:type="character" w:styleId="IntenseReference">
    <w:name w:val="Intense Reference"/>
    <w:basedOn w:val="DefaultParagraphFont"/>
    <w:uiPriority w:val="32"/>
    <w:qFormat/>
    <w:rsid w:val="00AF0489"/>
    <w:rPr>
      <w:b/>
      <w:bCs/>
      <w:smallCaps/>
      <w:color w:val="0F4761" w:themeColor="accent1" w:themeShade="BF"/>
      <w:spacing w:val="5"/>
    </w:rPr>
  </w:style>
  <w:style w:type="table" w:styleId="TableGrid">
    <w:name w:val="Table Grid"/>
    <w:basedOn w:val="TableNormal"/>
    <w:uiPriority w:val="39"/>
    <w:rsid w:val="00AF048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0489"/>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character" w:customStyle="1" w:styleId="markedcontent">
    <w:name w:val="markedcontent"/>
    <w:basedOn w:val="DefaultParagraphFont"/>
    <w:rsid w:val="00AF0489"/>
  </w:style>
  <w:style w:type="paragraph" w:styleId="Revision">
    <w:name w:val="Revision"/>
    <w:hidden/>
    <w:uiPriority w:val="99"/>
    <w:semiHidden/>
    <w:rsid w:val="008A3D31"/>
    <w:pPr>
      <w:spacing w:after="0" w:line="240" w:lineRule="auto"/>
    </w:pPr>
    <w:rPr>
      <w:rFonts w:eastAsia="Times New Roman" w:cs="Times New Roman"/>
      <w:kern w:val="0"/>
      <w:sz w:val="18"/>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3015</Words>
  <Characters>17080</Characters>
  <Application>Microsoft Office Word</Application>
  <DocSecurity>0</DocSecurity>
  <Lines>336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Oxley</dc:creator>
  <cp:keywords/>
  <dc:description/>
  <cp:lastModifiedBy>Nick Oxley</cp:lastModifiedBy>
  <cp:revision>9</cp:revision>
  <cp:lastPrinted>2025-02-18T13:18:00Z</cp:lastPrinted>
  <dcterms:created xsi:type="dcterms:W3CDTF">2025-02-18T14:01:00Z</dcterms:created>
  <dcterms:modified xsi:type="dcterms:W3CDTF">2025-06-12T11:49:00Z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1d3c610b-0e06-4e2c-bd1e-1da57dece440</vt:lpwstr>
  </property>
</Properties>
</file>